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32308d6k.htm"/>
      <w:bookmarkStart w:id="1" w:name="ksd332308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April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001-42931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Grupo Aeroméxico, S.A.B. de C.V.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w:t>
      </w:r>
    </w:p>
    <w:p>
      <w:pPr>
        <w:pStyle w:val="TextBody"/>
        <w:bidi w:val="0"/>
        <w:spacing w:before="240" w:after="0"/>
        <w:jc w:val="center"/>
        <w:rPr>
          <w:rFonts w:ascii="Times New Roman" w:hAnsi="Times New Roman"/>
          <w:b/>
          <w:sz w:val="48"/>
        </w:rPr>
      </w:pPr>
      <w:r>
        <w:rPr>
          <w:rFonts w:ascii="Times New Roman" w:hAnsi="Times New Roman"/>
          <w:b/>
          <w:sz w:val="48"/>
        </w:rPr>
        <w:t xml:space="preserve">Aeromexico Group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Avenida Paseo de la Reforma 243, 25th Floor </w:t>
      </w:r>
    </w:p>
    <w:p>
      <w:pPr>
        <w:pStyle w:val="TextBody"/>
        <w:bidi w:val="0"/>
        <w:spacing w:before="0" w:after="0"/>
        <w:jc w:val="center"/>
        <w:rPr>
          <w:rFonts w:ascii="Times New Roman" w:hAnsi="Times New Roman"/>
          <w:b/>
          <w:sz w:val="20"/>
        </w:rPr>
      </w:pPr>
      <w:r>
        <w:rPr>
          <w:rFonts w:ascii="Times New Roman" w:hAnsi="Times New Roman"/>
          <w:b/>
          <w:sz w:val="20"/>
        </w:rPr>
        <w:t xml:space="preserve">Col. Renacimiento, Cuauhtémoc 06500 </w:t>
      </w:r>
    </w:p>
    <w:p>
      <w:pPr>
        <w:pStyle w:val="TextBody"/>
        <w:bidi w:val="0"/>
        <w:spacing w:before="0" w:after="0"/>
        <w:jc w:val="center"/>
        <w:rPr>
          <w:rFonts w:ascii="Times New Roman" w:hAnsi="Times New Roman"/>
          <w:b/>
          <w:sz w:val="20"/>
        </w:rPr>
      </w:pPr>
      <w:r>
        <w:rPr>
          <w:rFonts w:ascii="Times New Roman" w:hAnsi="Times New Roman"/>
          <w:b/>
          <w:sz w:val="20"/>
        </w:rPr>
        <w:t xml:space="preserve">Mexico City </w:t>
      </w:r>
    </w:p>
    <w:p>
      <w:pPr>
        <w:pStyle w:val="TextBody"/>
        <w:bidi w:val="0"/>
        <w:spacing w:before="0" w:after="0"/>
        <w:jc w:val="center"/>
        <w:rPr>
          <w:rFonts w:ascii="Times New Roman" w:hAnsi="Times New Roman"/>
          <w:b/>
          <w:sz w:val="20"/>
        </w:rPr>
      </w:pPr>
      <w:r>
        <w:rPr>
          <w:rFonts w:ascii="Times New Roman" w:hAnsi="Times New Roman"/>
          <w:b/>
          <w:sz w:val="20"/>
        </w:rPr>
        <w:t xml:space="preserve">United Mexican States </w:t>
      </w:r>
    </w:p>
    <w:p>
      <w:pPr>
        <w:pStyle w:val="TextBody"/>
        <w:bidi w:val="0"/>
        <w:spacing w:before="0" w:after="0"/>
        <w:jc w:val="center"/>
        <w:rPr>
          <w:rFonts w:ascii="Times New Roman" w:hAnsi="Times New Roman"/>
          <w:b/>
          <w:sz w:val="20"/>
        </w:rPr>
      </w:pPr>
      <w:r>
        <w:rPr>
          <w:rFonts w:ascii="Times New Roman" w:hAnsi="Times New Roman"/>
          <w:b/>
          <w:sz w:val="20"/>
        </w:rPr>
        <w:t xml:space="preserve">+52 (55) 9132 4000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April 21, 2026, Grupo Aeroméxico, S.A.B. de C.V. (the “Company”) issued a press release titled “Aeroméxico Reports Unaudited First Quarter 2026 Results.” A copy of this press release is furnished with this Form 6-K as Exhibit 99.1.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previously issued press releases containing January 2026 traffic results, February 2026 traffic results and March 2026 traffic results. Copies of these press releases are furnished with this Form 6-K as exhibits 99.2, 99.3 and 99.4, respectively.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4"/>
        <w:gridCol w:w="430"/>
        <w:gridCol w:w="8991"/>
      </w:tblGrid>
      <w:tr>
        <w:trPr/>
        <w:tc>
          <w:tcPr>
            <w:tcW w:w="784"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8991" w:type="dxa"/>
            <w:tcBorders/>
            <w:vAlign w:val="center"/>
          </w:tcPr>
          <w:p>
            <w:pPr>
              <w:pStyle w:val="TableContents"/>
              <w:bidi w:val="0"/>
              <w:spacing w:before="0" w:after="283"/>
              <w:jc w:val="left"/>
              <w:rPr>
                <w:sz w:val="4"/>
                <w:szCs w:val="4"/>
              </w:rPr>
            </w:pPr>
            <w:r>
              <w:rPr>
                <w:sz w:val="4"/>
                <w:szCs w:val="4"/>
              </w:rPr>
            </w:r>
          </w:p>
        </w:tc>
      </w:tr>
      <w:tr>
        <w:trPr/>
        <w:tc>
          <w:tcPr>
            <w:tcW w:w="784"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430" w:type="dxa"/>
            <w:tcBorders/>
            <w:vAlign w:val="bottom"/>
          </w:tcPr>
          <w:p>
            <w:pPr>
              <w:pStyle w:val="TableContents"/>
              <w:bidi w:val="0"/>
              <w:spacing w:before="0" w:after="283"/>
              <w:jc w:val="left"/>
              <w:rPr/>
            </w:pPr>
            <w:r>
              <w:rPr/>
              <w:t>  </w:t>
            </w:r>
          </w:p>
        </w:tc>
        <w:tc>
          <w:tcPr>
            <w:tcW w:w="899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99.1</w:t>
            </w:r>
          </w:p>
        </w:tc>
        <w:tc>
          <w:tcPr>
            <w:tcW w:w="430" w:type="dxa"/>
            <w:tcBorders/>
            <w:vAlign w:val="bottom"/>
          </w:tcPr>
          <w:p>
            <w:pPr>
              <w:pStyle w:val="TableContents"/>
              <w:bidi w:val="0"/>
              <w:spacing w:before="0" w:after="283"/>
              <w:jc w:val="left"/>
              <w:rPr/>
            </w:pPr>
            <w:r>
              <w:rPr/>
              <w:t>  </w:t>
            </w:r>
          </w:p>
        </w:tc>
        <w:tc>
          <w:tcPr>
            <w:tcW w:w="8991" w:type="dxa"/>
            <w:tcBorders/>
          </w:tcPr>
          <w:p>
            <w:pPr>
              <w:pStyle w:val="TableContents"/>
              <w:bidi w:val="0"/>
              <w:spacing w:before="0" w:after="283"/>
              <w:jc w:val="left"/>
              <w:rPr/>
            </w:pPr>
            <w:hyperlink w:anchor="d332308dex991.htm">
              <w:r>
                <w:rPr>
                  <w:rStyle w:val="InternetLink"/>
                </w:rPr>
                <w:t xml:space="preserve">Press Release dated April 21, 2026, titled “Aeroméxico Reports Unaudited First Quarter 2026 Results.” </w:t>
              </w:r>
            </w:hyperlink>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99.2</w:t>
            </w:r>
          </w:p>
        </w:tc>
        <w:tc>
          <w:tcPr>
            <w:tcW w:w="430" w:type="dxa"/>
            <w:tcBorders/>
            <w:vAlign w:val="bottom"/>
          </w:tcPr>
          <w:p>
            <w:pPr>
              <w:pStyle w:val="TableContents"/>
              <w:bidi w:val="0"/>
              <w:spacing w:before="0" w:after="283"/>
              <w:jc w:val="left"/>
              <w:rPr/>
            </w:pPr>
            <w:r>
              <w:rPr/>
              <w:t>  </w:t>
            </w:r>
          </w:p>
        </w:tc>
        <w:tc>
          <w:tcPr>
            <w:tcW w:w="8991" w:type="dxa"/>
            <w:tcBorders/>
          </w:tcPr>
          <w:p>
            <w:pPr>
              <w:pStyle w:val="TableContents"/>
              <w:bidi w:val="0"/>
              <w:spacing w:before="0" w:after="283"/>
              <w:jc w:val="left"/>
              <w:rPr/>
            </w:pPr>
            <w:hyperlink w:anchor="d332308dex992.htm">
              <w:r>
                <w:rPr>
                  <w:rStyle w:val="InternetLink"/>
                </w:rPr>
                <w:t xml:space="preserve">Press Release dated February 5, 2026, titled “Aeroméxico January 2026 Traffic Results.” </w:t>
              </w:r>
            </w:hyperlink>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99.3</w:t>
            </w:r>
          </w:p>
        </w:tc>
        <w:tc>
          <w:tcPr>
            <w:tcW w:w="430" w:type="dxa"/>
            <w:tcBorders/>
            <w:vAlign w:val="bottom"/>
          </w:tcPr>
          <w:p>
            <w:pPr>
              <w:pStyle w:val="TableContents"/>
              <w:bidi w:val="0"/>
              <w:spacing w:before="0" w:after="283"/>
              <w:jc w:val="left"/>
              <w:rPr/>
            </w:pPr>
            <w:r>
              <w:rPr/>
              <w:t>  </w:t>
            </w:r>
          </w:p>
        </w:tc>
        <w:tc>
          <w:tcPr>
            <w:tcW w:w="8991" w:type="dxa"/>
            <w:tcBorders/>
          </w:tcPr>
          <w:p>
            <w:pPr>
              <w:pStyle w:val="TableContents"/>
              <w:bidi w:val="0"/>
              <w:spacing w:before="0" w:after="283"/>
              <w:jc w:val="left"/>
              <w:rPr/>
            </w:pPr>
            <w:hyperlink w:anchor="d332308dex993.htm">
              <w:r>
                <w:rPr>
                  <w:rStyle w:val="InternetLink"/>
                </w:rPr>
                <w:t xml:space="preserve">Press Release dated March 5, 2026, titled “Aeroméxico February 2026 Traffic Results.” </w:t>
              </w:r>
            </w:hyperlink>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99.4</w:t>
            </w:r>
          </w:p>
        </w:tc>
        <w:tc>
          <w:tcPr>
            <w:tcW w:w="430" w:type="dxa"/>
            <w:tcBorders/>
            <w:vAlign w:val="bottom"/>
          </w:tcPr>
          <w:p>
            <w:pPr>
              <w:pStyle w:val="TableContents"/>
              <w:bidi w:val="0"/>
              <w:spacing w:before="0" w:after="283"/>
              <w:jc w:val="left"/>
              <w:rPr/>
            </w:pPr>
            <w:r>
              <w:rPr/>
              <w:t>  </w:t>
            </w:r>
          </w:p>
        </w:tc>
        <w:tc>
          <w:tcPr>
            <w:tcW w:w="8991" w:type="dxa"/>
            <w:tcBorders/>
          </w:tcPr>
          <w:p>
            <w:pPr>
              <w:pStyle w:val="TableContents"/>
              <w:bidi w:val="0"/>
              <w:spacing w:before="0" w:after="283"/>
              <w:jc w:val="left"/>
              <w:rPr/>
            </w:pPr>
            <w:hyperlink w:anchor="d332308dex994.htm">
              <w:r>
                <w:rPr>
                  <w:rStyle w:val="InternetLink"/>
                </w:rPr>
                <w:t xml:space="preserve">Press Release dated April 8, 2026, titled “Aeroméxico March 2026 Traffic Results.”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01"/>
        <w:gridCol w:w="109"/>
        <w:gridCol w:w="394"/>
        <w:gridCol w:w="109"/>
        <w:gridCol w:w="616"/>
        <w:gridCol w:w="109"/>
        <w:gridCol w:w="4467"/>
      </w:tblGrid>
      <w:tr>
        <w:trPr/>
        <w:tc>
          <w:tcPr>
            <w:tcW w:w="440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467" w:type="dxa"/>
            <w:tcBorders/>
            <w:vAlign w:val="center"/>
          </w:tcPr>
          <w:p>
            <w:pPr>
              <w:pStyle w:val="TableContents"/>
              <w:bidi w:val="0"/>
              <w:spacing w:before="0" w:after="283"/>
              <w:jc w:val="left"/>
              <w:rPr>
                <w:sz w:val="4"/>
                <w:szCs w:val="4"/>
              </w:rPr>
            </w:pPr>
            <w:r>
              <w:rPr>
                <w:sz w:val="4"/>
                <w:szCs w:val="4"/>
              </w:rPr>
            </w:r>
          </w:p>
        </w:tc>
      </w:tr>
      <w:tr>
        <w:trPr/>
        <w:tc>
          <w:tcPr>
            <w:tcW w:w="440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192" w:type="dxa"/>
            <w:gridSpan w:val="3"/>
            <w:tcBorders/>
          </w:tcPr>
          <w:p>
            <w:pPr>
              <w:pStyle w:val="TableContents"/>
              <w:bidi w:val="0"/>
              <w:spacing w:before="0" w:after="283"/>
              <w:jc w:val="left"/>
              <w:rPr>
                <w:b/>
              </w:rPr>
            </w:pPr>
            <w:r>
              <w:rPr>
                <w:b/>
              </w:rPr>
              <w:t>Grupo Aeroméxico, S.A.B. de C.V.</w:t>
            </w:r>
          </w:p>
        </w:tc>
      </w:tr>
      <w:tr>
        <w:trPr>
          <w:trHeight w:val="240" w:hRule="atLeast"/>
        </w:trPr>
        <w:tc>
          <w:tcPr>
            <w:tcW w:w="4401" w:type="dxa"/>
            <w:tcBorders/>
            <w:vAlign w:val="center"/>
          </w:tcPr>
          <w:p>
            <w:pPr>
              <w:pStyle w:val="TableContents"/>
              <w:bidi w:val="0"/>
              <w:spacing w:before="0" w:after="283"/>
              <w:jc w:val="left"/>
              <w:rPr>
                <w:sz w:val="4"/>
                <w:szCs w:val="4"/>
              </w:rPr>
            </w:pPr>
            <w:r>
              <w:rPr>
                <w:sz w:val="4"/>
                <w:szCs w:val="4"/>
              </w:rPr>
            </w:r>
          </w:p>
        </w:tc>
        <w:tc>
          <w:tcPr>
            <w:tcW w:w="503" w:type="dxa"/>
            <w:gridSpan w:val="2"/>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4576" w:type="dxa"/>
            <w:gridSpan w:val="2"/>
            <w:tcBorders/>
            <w:vAlign w:val="center"/>
          </w:tcPr>
          <w:p>
            <w:pPr>
              <w:pStyle w:val="TableContents"/>
              <w:bidi w:val="0"/>
              <w:spacing w:before="0" w:after="283"/>
              <w:jc w:val="left"/>
              <w:rPr>
                <w:sz w:val="4"/>
                <w:szCs w:val="4"/>
              </w:rPr>
            </w:pPr>
            <w:r>
              <w:rPr>
                <w:sz w:val="4"/>
                <w:szCs w:val="4"/>
              </w:rPr>
            </w:r>
          </w:p>
        </w:tc>
      </w:tr>
      <w:tr>
        <w:trPr/>
        <w:tc>
          <w:tcPr>
            <w:tcW w:w="4401" w:type="dxa"/>
            <w:tcBorders/>
          </w:tcPr>
          <w:p>
            <w:pPr>
              <w:pStyle w:val="TableContents"/>
              <w:bidi w:val="0"/>
              <w:spacing w:before="0" w:after="283"/>
              <w:jc w:val="left"/>
              <w:rPr/>
            </w:pPr>
            <w:r>
              <w:rPr/>
              <w:t>Date: April 23, 2026</w:t>
            </w:r>
          </w:p>
        </w:tc>
        <w:tc>
          <w:tcPr>
            <w:tcW w:w="109"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16"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6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Ernesto Gómez Pombo</w:t>
            </w:r>
          </w:p>
        </w:tc>
      </w:tr>
      <w:tr>
        <w:trPr/>
        <w:tc>
          <w:tcPr>
            <w:tcW w:w="440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16"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467" w:type="dxa"/>
            <w:tcBorders/>
          </w:tcPr>
          <w:p>
            <w:pPr>
              <w:pStyle w:val="TableContents"/>
              <w:bidi w:val="0"/>
              <w:spacing w:before="0" w:after="283"/>
              <w:jc w:val="left"/>
              <w:rPr/>
            </w:pPr>
            <w:r>
              <w:rPr/>
              <w:t>Ernesto Gómez Pombo</w:t>
            </w:r>
          </w:p>
        </w:tc>
      </w:tr>
      <w:tr>
        <w:trPr/>
        <w:tc>
          <w:tcPr>
            <w:tcW w:w="440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16"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467" w:type="dxa"/>
            <w:tcBorders/>
          </w:tcPr>
          <w:p>
            <w:pPr>
              <w:pStyle w:val="TableContents"/>
              <w:bidi w:val="0"/>
              <w:spacing w:before="0" w:after="283"/>
              <w:jc w:val="left"/>
              <w:rPr/>
            </w:pPr>
            <w:r>
              <w:rPr/>
              <w:t>General Counsel</w:t>
            </w:r>
          </w:p>
        </w:tc>
      </w:tr>
    </w:tbl>
    <w:p>
      <w:pPr>
        <w:pStyle w:val="TextBody"/>
        <w:bidi w:val="0"/>
        <w:spacing w:before="0" w:after="0"/>
        <w:jc w:val="right"/>
        <w:rPr>
          <w:rFonts w:ascii="Times New Roman" w:hAnsi="Times New Roman"/>
          <w:b/>
          <w:sz w:val="20"/>
        </w:rPr>
      </w:pPr>
      <w:bookmarkStart w:id="2" w:name="d332308dex991.htm"/>
      <w:bookmarkStart w:id="3" w:name="ksd332308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33528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52800" cy="6191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56"/>
        <w:gridCol w:w="123"/>
        <w:gridCol w:w="3662"/>
        <w:gridCol w:w="123"/>
        <w:gridCol w:w="5041"/>
      </w:tblGrid>
      <w:tr>
        <w:trPr/>
        <w:tc>
          <w:tcPr>
            <w:tcW w:w="125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66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041" w:type="dxa"/>
            <w:tcBorders/>
            <w:vAlign w:val="center"/>
          </w:tcPr>
          <w:p>
            <w:pPr>
              <w:pStyle w:val="TableContents"/>
              <w:bidi w:val="0"/>
              <w:spacing w:before="0" w:after="283"/>
              <w:jc w:val="left"/>
              <w:rPr>
                <w:sz w:val="4"/>
                <w:szCs w:val="4"/>
              </w:rPr>
            </w:pPr>
            <w:r>
              <w:rPr>
                <w:sz w:val="4"/>
                <w:szCs w:val="4"/>
              </w:rPr>
            </w:r>
          </w:p>
        </w:tc>
      </w:tr>
      <w:tr>
        <w:trPr/>
        <w:tc>
          <w:tcPr>
            <w:tcW w:w="1256" w:type="dxa"/>
            <w:tcBorders/>
          </w:tcPr>
          <w:p>
            <w:pPr>
              <w:pStyle w:val="TableContents"/>
              <w:bidi w:val="0"/>
              <w:spacing w:before="0" w:after="283"/>
              <w:jc w:val="left"/>
              <w:rPr>
                <w:b/>
              </w:rPr>
            </w:pPr>
            <w:r>
              <w:rPr>
                <w:b/>
              </w:rPr>
              <w:t>CONTACT:</w:t>
            </w:r>
          </w:p>
        </w:tc>
        <w:tc>
          <w:tcPr>
            <w:tcW w:w="123" w:type="dxa"/>
            <w:tcBorders/>
            <w:vAlign w:val="bottom"/>
          </w:tcPr>
          <w:p>
            <w:pPr>
              <w:pStyle w:val="TableContents"/>
              <w:bidi w:val="0"/>
              <w:spacing w:before="0" w:after="283"/>
              <w:jc w:val="left"/>
              <w:rPr/>
            </w:pPr>
            <w:r>
              <w:rPr/>
              <w:t>  </w:t>
            </w:r>
          </w:p>
        </w:tc>
        <w:tc>
          <w:tcPr>
            <w:tcW w:w="3662" w:type="dxa"/>
            <w:tcBorders/>
          </w:tcPr>
          <w:p>
            <w:pPr>
              <w:pStyle w:val="TableContents"/>
              <w:bidi w:val="0"/>
              <w:spacing w:before="0" w:after="283"/>
              <w:jc w:val="left"/>
              <w:rPr/>
            </w:pPr>
            <w:r>
              <w:rPr/>
              <w:t>Investor Relations</w:t>
            </w:r>
          </w:p>
        </w:tc>
        <w:tc>
          <w:tcPr>
            <w:tcW w:w="123" w:type="dxa"/>
            <w:tcBorders/>
            <w:vAlign w:val="bottom"/>
          </w:tcPr>
          <w:p>
            <w:pPr>
              <w:pStyle w:val="TableContents"/>
              <w:bidi w:val="0"/>
              <w:spacing w:before="0" w:after="283"/>
              <w:jc w:val="left"/>
              <w:rPr/>
            </w:pPr>
            <w:r>
              <w:rPr/>
              <w:t>  </w:t>
            </w:r>
          </w:p>
        </w:tc>
        <w:tc>
          <w:tcPr>
            <w:tcW w:w="5041" w:type="dxa"/>
            <w:tcBorders/>
          </w:tcPr>
          <w:p>
            <w:pPr>
              <w:pStyle w:val="TableContents"/>
              <w:bidi w:val="0"/>
              <w:spacing w:before="0" w:after="283"/>
              <w:jc w:val="left"/>
              <w:rPr>
                <w:u w:val="single"/>
              </w:rPr>
            </w:pPr>
            <w:r>
              <w:rPr>
                <w:u w:val="single"/>
              </w:rPr>
              <w:t>aminvestorrelations@aeromexico.com</w:t>
            </w:r>
          </w:p>
        </w:tc>
      </w:tr>
      <w:tr>
        <w:trPr/>
        <w:tc>
          <w:tcPr>
            <w:tcW w:w="125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662" w:type="dxa"/>
            <w:tcBorders/>
          </w:tcPr>
          <w:p>
            <w:pPr>
              <w:pStyle w:val="TableContents"/>
              <w:bidi w:val="0"/>
              <w:spacing w:before="0" w:after="283"/>
              <w:jc w:val="left"/>
              <w:rPr/>
            </w:pPr>
            <w:r>
              <w:rPr/>
              <w:t>Corporate Communications</w:t>
            </w:r>
          </w:p>
        </w:tc>
        <w:tc>
          <w:tcPr>
            <w:tcW w:w="123" w:type="dxa"/>
            <w:tcBorders/>
            <w:vAlign w:val="bottom"/>
          </w:tcPr>
          <w:p>
            <w:pPr>
              <w:pStyle w:val="TableContents"/>
              <w:bidi w:val="0"/>
              <w:spacing w:before="0" w:after="283"/>
              <w:jc w:val="left"/>
              <w:rPr/>
            </w:pPr>
            <w:r>
              <w:rPr/>
              <w:t>  </w:t>
            </w:r>
          </w:p>
        </w:tc>
        <w:tc>
          <w:tcPr>
            <w:tcW w:w="5041" w:type="dxa"/>
            <w:tcBorders/>
          </w:tcPr>
          <w:p>
            <w:pPr>
              <w:pStyle w:val="TableContents"/>
              <w:bidi w:val="0"/>
              <w:spacing w:before="0" w:after="283"/>
              <w:jc w:val="left"/>
              <w:rPr>
                <w:u w:val="single"/>
              </w:rPr>
            </w:pPr>
            <w:r>
              <w:rPr>
                <w:u w:val="single"/>
              </w:rPr>
              <w:t>amcomunicacioncorporativa@aeromexico.com</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Aeroméxico Reports Unaudited First Quarter 2026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0"/>
        <w:gridCol w:w="8882"/>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Total Revenue growth of 13% year-on-year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Adjusted EBITDAR Margin of 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Operating Margin of 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i/>
                <w:sz w:val="20"/>
              </w:rPr>
              <w:t>Liquidity to LTM Revenue ratio at 23%</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Grupo Aeroméxico S.A.B. de C.V. (NYSE: AERO &amp; BMV: AERO, “Aeroméxico” or the “Company”) today reported unaudited consolidated financial results for the three months ended March 31, 2026 (“1Q26”). These results are based on information available to us as of the date of this earnings release and are not a comprehensive statement of our financial results for the period presented. The Company has used the U.S. dollar, its functional currency, as the presentation currency for its consolidated financial statements. All figures are expressed in millions of U.S. dollars unless otherwise indicated. </w:t>
      </w:r>
    </w:p>
    <w:p>
      <w:pPr>
        <w:pStyle w:val="TextBody"/>
        <w:bidi w:val="0"/>
        <w:spacing w:before="240" w:after="0"/>
        <w:jc w:val="left"/>
        <w:rPr>
          <w:rFonts w:ascii="Times New Roman" w:hAnsi="Times New Roman"/>
          <w:sz w:val="20"/>
        </w:rPr>
      </w:pPr>
      <w:r>
        <w:rPr>
          <w:rFonts w:ascii="Times New Roman" w:hAnsi="Times New Roman"/>
          <w:b/>
          <w:sz w:val="20"/>
        </w:rPr>
        <w:t>Andrés Conesa, Chief Executive Officer</w:t>
      </w:r>
      <w:r>
        <w:rPr>
          <w:rFonts w:ascii="Times New Roman" w:hAnsi="Times New Roman"/>
          <w:sz w:val="20"/>
        </w:rPr>
        <w:t xml:space="preserve"> stated: “Aeroméxico started 2026 on a solid footing, building on the momentum gained in the second half of 2025. Demand remained robust during the quarter, supporting strong revenue performance despite a dynamic environment and temporary disruptions in specific local markets. While higher fuel prices have put pressure on margins, our disciplined approach to capacity and network management, commitment to premium revenue strategies, pricing initiatives, and cost control, allowed us to sustain solid profitability. Operationally, we continued to demonstrate high levels of reliability, once again being recognized by Cirium as the world’s most on-time airline for the first quarter of 2026. These results reflect the resilience of our business model and the exceptional commitment of our people, as we remain focused on safety, profitability, and delivering a superior customer experience—reinforcing our position as Mexico’s flagship carrier”. </w:t>
      </w:r>
    </w:p>
    <w:p>
      <w:pPr>
        <w:pStyle w:val="TextBody"/>
        <w:bidi w:val="0"/>
        <w:spacing w:before="360" w:after="0"/>
        <w:jc w:val="left"/>
        <w:rPr>
          <w:rFonts w:ascii="Times New Roman" w:hAnsi="Times New Roman"/>
          <w:b/>
          <w:sz w:val="20"/>
        </w:rPr>
      </w:pPr>
      <w:r>
        <w:rPr>
          <w:rFonts w:ascii="Times New Roman" w:hAnsi="Times New Roman"/>
          <w:b/>
          <w:sz w:val="20"/>
        </w:rPr>
        <w:t xml:space="preserve">OPERATING &amp; FINANCIAL HIGHLIGHTS FIRST QUARTER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Capacity,</w:t>
            </w:r>
            <w:r>
              <w:rPr>
                <w:rFonts w:ascii="Times New Roman" w:hAnsi="Times New Roman"/>
                <w:sz w:val="20"/>
              </w:rPr>
              <w:t xml:space="preserve"> measured in available seat miles (ASMs), decreased by 1.2% year-over-year in 1Q26.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Total revenue</w:t>
            </w:r>
            <w:r>
              <w:rPr>
                <w:rFonts w:ascii="Times New Roman" w:hAnsi="Times New Roman"/>
                <w:sz w:val="20"/>
              </w:rPr>
              <w:t xml:space="preserve"> reached $1.3 billion, a 13.3% increase as compared to the same period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Adjusted EBITDAR(1)</w:t>
            </w:r>
            <w:r>
              <w:rPr>
                <w:rFonts w:ascii="Times New Roman" w:hAnsi="Times New Roman"/>
                <w:sz w:val="20"/>
              </w:rPr>
              <w:t xml:space="preserve"> totaled $335.8 million, with a 25.0% margin, marking a 5.0% increase over the same period last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Operating income</w:t>
            </w:r>
            <w:r>
              <w:rPr>
                <w:rFonts w:ascii="Times New Roman" w:hAnsi="Times New Roman"/>
                <w:sz w:val="20"/>
              </w:rPr>
              <w:t xml:space="preserve"> totaled $141.8 million, with a 10.6% margin.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Cost per ASM</w:t>
            </w:r>
            <w:r>
              <w:rPr>
                <w:rFonts w:ascii="Times New Roman" w:hAnsi="Times New Roman"/>
                <w:sz w:val="20"/>
              </w:rPr>
              <w:t xml:space="preserve"> </w:t>
            </w:r>
            <w:r>
              <w:rPr>
                <w:rFonts w:ascii="Times New Roman" w:hAnsi="Times New Roman"/>
                <w:b/>
                <w:sz w:val="20"/>
              </w:rPr>
              <w:t>excluding fuel (CASM-Ex),</w:t>
            </w:r>
            <w:r>
              <w:rPr>
                <w:rFonts w:ascii="Times New Roman" w:hAnsi="Times New Roman"/>
                <w:sz w:val="20"/>
              </w:rPr>
              <w:t xml:space="preserve"> was 10.2¢.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w:t>
            </w:r>
            <w:r>
              <w:rPr>
                <w:rFonts w:ascii="Times New Roman" w:hAnsi="Times New Roman"/>
                <w:b/>
                <w:sz w:val="20"/>
              </w:rPr>
              <w:t>adjusted net debt to EBITDAR(1)</w:t>
            </w:r>
            <w:r>
              <w:rPr>
                <w:rFonts w:ascii="Times New Roman" w:hAnsi="Times New Roman"/>
                <w:sz w:val="20"/>
              </w:rPr>
              <w:t xml:space="preserve"> ended the quarter at 1.7x, compared to 1.8x in 4Q25.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Liquidity(2)</w:t>
            </w:r>
            <w:r>
              <w:rPr>
                <w:rFonts w:ascii="Times New Roman" w:hAnsi="Times New Roman"/>
                <w:sz w:val="20"/>
              </w:rPr>
              <w:t xml:space="preserve"> reached $1.2 billion and represented 23.0% of total revenues.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4067175" cy="485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067175" cy="485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2Q26 OUTLOOK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15"/>
        <w:gridCol w:w="223"/>
        <w:gridCol w:w="60"/>
        <w:gridCol w:w="1979"/>
        <w:gridCol w:w="62"/>
      </w:tblGrid>
      <w:tr>
        <w:trPr/>
        <w:tc>
          <w:tcPr>
            <w:tcW w:w="4615"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6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Indicator</w:t>
            </w:r>
          </w:p>
        </w:tc>
        <w:tc>
          <w:tcPr>
            <w:tcW w:w="223" w:type="dxa"/>
            <w:tcBorders/>
            <w:vAlign w:val="bottom"/>
          </w:tcPr>
          <w:p>
            <w:pPr>
              <w:pStyle w:val="TableContents"/>
              <w:bidi w:val="0"/>
              <w:spacing w:before="0" w:after="283"/>
              <w:jc w:val="left"/>
              <w:rPr/>
            </w:pPr>
            <w:r>
              <w:rPr/>
              <w:t>  </w:t>
            </w:r>
          </w:p>
        </w:tc>
        <w:tc>
          <w:tcPr>
            <w:tcW w:w="20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2Q26 Guidance</w:t>
            </w:r>
          </w:p>
        </w:tc>
        <w:tc>
          <w:tcPr>
            <w:tcW w:w="62" w:type="dxa"/>
            <w:tcBorders/>
            <w:vAlign w:val="bottom"/>
          </w:tcPr>
          <w:p>
            <w:pPr>
              <w:pStyle w:val="TableContents"/>
              <w:bidi w:val="0"/>
              <w:spacing w:before="0" w:after="283"/>
              <w:jc w:val="left"/>
              <w:rPr/>
            </w:pPr>
            <w:r>
              <w:rPr/>
              <w:t> </w:t>
            </w:r>
          </w:p>
        </w:tc>
      </w:tr>
      <w:tr>
        <w:trPr/>
        <w:tc>
          <w:tcPr>
            <w:tcW w:w="4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Capacity (ASMs)</w:t>
            </w:r>
          </w:p>
        </w:tc>
        <w:tc>
          <w:tcPr>
            <w:tcW w:w="2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9" w:type="dxa"/>
            <w:tcBorders/>
            <w:shd w:fill="CCEEFF" w:val="clear"/>
            <w:vAlign w:val="bottom"/>
          </w:tcPr>
          <w:p>
            <w:pPr>
              <w:pStyle w:val="TableContents"/>
              <w:bidi w:val="0"/>
              <w:spacing w:before="0" w:after="283"/>
              <w:jc w:val="right"/>
              <w:rPr/>
            </w:pPr>
            <w:r>
              <w:rPr/>
              <w:t>~ 1.5% to 2.5%</w:t>
            </w:r>
          </w:p>
        </w:tc>
        <w:tc>
          <w:tcPr>
            <w:tcW w:w="62" w:type="dxa"/>
            <w:tcBorders/>
            <w:shd w:fill="CCEEFF" w:val="clear"/>
            <w:vAlign w:val="bottom"/>
          </w:tcPr>
          <w:p>
            <w:pPr>
              <w:pStyle w:val="TableContents"/>
              <w:bidi w:val="0"/>
              <w:spacing w:before="0" w:after="283"/>
              <w:jc w:val="left"/>
              <w:rPr/>
            </w:pPr>
            <w:r>
              <w:rPr/>
              <w:t> </w:t>
            </w:r>
          </w:p>
        </w:tc>
      </w:tr>
      <w:tr>
        <w:trPr/>
        <w:tc>
          <w:tcPr>
            <w:tcW w:w="4615"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9" w:type="dxa"/>
            <w:tcBorders/>
            <w:vAlign w:val="bottom"/>
          </w:tcPr>
          <w:p>
            <w:pPr>
              <w:pStyle w:val="TableContents"/>
              <w:bidi w:val="0"/>
              <w:spacing w:before="0" w:after="283"/>
              <w:jc w:val="right"/>
              <w:rPr/>
            </w:pPr>
            <w:r>
              <w:rPr/>
              <w:t>~ 1.47 bn to 1.52 bn</w:t>
            </w:r>
          </w:p>
        </w:tc>
        <w:tc>
          <w:tcPr>
            <w:tcW w:w="62" w:type="dxa"/>
            <w:tcBorders/>
            <w:vAlign w:val="bottom"/>
          </w:tcPr>
          <w:p>
            <w:pPr>
              <w:pStyle w:val="TableContents"/>
              <w:bidi w:val="0"/>
              <w:spacing w:before="0" w:after="283"/>
              <w:jc w:val="left"/>
              <w:rPr/>
            </w:pPr>
            <w:r>
              <w:rPr/>
              <w:t> </w:t>
            </w:r>
          </w:p>
        </w:tc>
      </w:tr>
      <w:tr>
        <w:trPr/>
        <w:tc>
          <w:tcPr>
            <w:tcW w:w="4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 YoY</w:t>
            </w:r>
          </w:p>
        </w:tc>
        <w:tc>
          <w:tcPr>
            <w:tcW w:w="2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9" w:type="dxa"/>
            <w:tcBorders/>
            <w:shd w:fill="CCEEFF" w:val="clear"/>
            <w:vAlign w:val="bottom"/>
          </w:tcPr>
          <w:p>
            <w:pPr>
              <w:pStyle w:val="TableContents"/>
              <w:bidi w:val="0"/>
              <w:spacing w:before="0" w:after="283"/>
              <w:jc w:val="right"/>
              <w:rPr/>
            </w:pPr>
            <w:r>
              <w:rPr/>
              <w:t>~ 12.5% to 15.5%</w:t>
            </w:r>
          </w:p>
        </w:tc>
        <w:tc>
          <w:tcPr>
            <w:tcW w:w="62" w:type="dxa"/>
            <w:tcBorders/>
            <w:shd w:fill="CCEEFF" w:val="clear"/>
            <w:vAlign w:val="bottom"/>
          </w:tcPr>
          <w:p>
            <w:pPr>
              <w:pStyle w:val="TableContents"/>
              <w:bidi w:val="0"/>
              <w:spacing w:before="0" w:after="283"/>
              <w:jc w:val="left"/>
              <w:rPr/>
            </w:pPr>
            <w:r>
              <w:rPr/>
              <w:t> </w:t>
            </w:r>
          </w:p>
        </w:tc>
      </w:tr>
      <w:tr>
        <w:trPr/>
        <w:tc>
          <w:tcPr>
            <w:tcW w:w="4615"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EBITDAR Margin</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9" w:type="dxa"/>
            <w:tcBorders/>
            <w:vAlign w:val="bottom"/>
          </w:tcPr>
          <w:p>
            <w:pPr>
              <w:pStyle w:val="TableContents"/>
              <w:bidi w:val="0"/>
              <w:spacing w:before="0" w:after="283"/>
              <w:jc w:val="right"/>
              <w:rPr/>
            </w:pPr>
            <w:r>
              <w:rPr/>
              <w:t>~ 17.0% to 20.0%</w:t>
            </w:r>
          </w:p>
        </w:tc>
        <w:tc>
          <w:tcPr>
            <w:tcW w:w="62" w:type="dxa"/>
            <w:tcBorders/>
            <w:vAlign w:val="bottom"/>
          </w:tcPr>
          <w:p>
            <w:pPr>
              <w:pStyle w:val="TableContents"/>
              <w:bidi w:val="0"/>
              <w:spacing w:before="0" w:after="283"/>
              <w:jc w:val="left"/>
              <w:rPr/>
            </w:pPr>
            <w:r>
              <w:rPr/>
              <w:t> </w:t>
            </w:r>
          </w:p>
        </w:tc>
      </w:tr>
      <w:tr>
        <w:trPr/>
        <w:tc>
          <w:tcPr>
            <w:tcW w:w="4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Margin</w:t>
            </w:r>
          </w:p>
        </w:tc>
        <w:tc>
          <w:tcPr>
            <w:tcW w:w="2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9" w:type="dxa"/>
            <w:tcBorders/>
            <w:shd w:fill="CCEEFF" w:val="clear"/>
            <w:vAlign w:val="bottom"/>
          </w:tcPr>
          <w:p>
            <w:pPr>
              <w:pStyle w:val="TableContents"/>
              <w:bidi w:val="0"/>
              <w:spacing w:before="0" w:after="283"/>
              <w:jc w:val="right"/>
              <w:rPr/>
            </w:pPr>
            <w:r>
              <w:rPr/>
              <w:t>~ 4.0% to 7.0%</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KEY FINANCIAL AND OPERATING HIGHLIGHTS FOR THE FIRST QUARTER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76"/>
        <w:gridCol w:w="253"/>
        <w:gridCol w:w="70"/>
        <w:gridCol w:w="659"/>
        <w:gridCol w:w="324"/>
        <w:gridCol w:w="172"/>
        <w:gridCol w:w="70"/>
        <w:gridCol w:w="659"/>
        <w:gridCol w:w="324"/>
        <w:gridCol w:w="171"/>
        <w:gridCol w:w="70"/>
        <w:gridCol w:w="967"/>
        <w:gridCol w:w="357"/>
      </w:tblGrid>
      <w:tr>
        <w:trPr/>
        <w:tc>
          <w:tcPr>
            <w:tcW w:w="4476"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4476"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Key Financial KPIs</w:t>
            </w:r>
          </w:p>
        </w:tc>
        <w:tc>
          <w:tcPr>
            <w:tcW w:w="253" w:type="dxa"/>
            <w:tcBorders/>
            <w:vAlign w:val="bottom"/>
          </w:tcPr>
          <w:p>
            <w:pPr>
              <w:pStyle w:val="TableContents"/>
              <w:bidi w:val="0"/>
              <w:spacing w:before="0" w:after="283"/>
              <w:jc w:val="left"/>
              <w:rPr/>
            </w:pPr>
            <w:r>
              <w:rPr/>
              <w:t>  </w:t>
            </w:r>
          </w:p>
        </w:tc>
        <w:tc>
          <w:tcPr>
            <w:tcW w:w="348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357" w:type="dxa"/>
            <w:tcBorders/>
            <w:vAlign w:val="bottom"/>
          </w:tcPr>
          <w:p>
            <w:pPr>
              <w:pStyle w:val="TableContents"/>
              <w:bidi w:val="0"/>
              <w:spacing w:before="0" w:after="283"/>
              <w:jc w:val="left"/>
              <w:rPr/>
            </w:pPr>
            <w:r>
              <w:rPr/>
              <w:t> </w:t>
            </w:r>
          </w:p>
        </w:tc>
      </w:tr>
      <w:tr>
        <w:trPr/>
        <w:tc>
          <w:tcPr>
            <w:tcW w:w="4476" w:type="dxa"/>
            <w:vMerge w:val="continue"/>
            <w:tcBorders/>
            <w:vAlign w:val="bottom"/>
          </w:tcPr>
          <w:p>
            <w:pPr>
              <w:pStyle w:val="Normal"/>
              <w:bidi w:val="0"/>
              <w:jc w:val="left"/>
              <w:rPr/>
            </w:pPr>
            <w:r>
              <w:rPr/>
            </w:r>
          </w:p>
        </w:tc>
        <w:tc>
          <w:tcPr>
            <w:tcW w:w="253" w:type="dxa"/>
            <w:tcBorders/>
            <w:vAlign w:val="bottom"/>
          </w:tcPr>
          <w:p>
            <w:pPr>
              <w:pStyle w:val="TableContents"/>
              <w:bidi w:val="0"/>
              <w:spacing w:before="0" w:after="283"/>
              <w:jc w:val="left"/>
              <w:rPr/>
            </w:pPr>
            <w:r>
              <w:rPr/>
              <w:t>  </w:t>
            </w:r>
          </w:p>
        </w:tc>
        <w:tc>
          <w:tcPr>
            <w:tcW w:w="7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1Q26</w:t>
            </w:r>
          </w:p>
        </w:tc>
        <w:tc>
          <w:tcPr>
            <w:tcW w:w="32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1Q25</w:t>
            </w:r>
          </w:p>
        </w:tc>
        <w:tc>
          <w:tcPr>
            <w:tcW w:w="324"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357" w:type="dxa"/>
            <w:tcBorders/>
            <w:vAlign w:val="bottom"/>
          </w:tcPr>
          <w:p>
            <w:pPr>
              <w:pStyle w:val="TableContents"/>
              <w:bidi w:val="0"/>
              <w:spacing w:before="0" w:after="283"/>
              <w:jc w:val="left"/>
              <w:rPr/>
            </w:pPr>
            <w:r>
              <w:rPr/>
              <w:t> </w:t>
            </w:r>
          </w:p>
        </w:tc>
      </w:tr>
      <w:tr>
        <w:trPr/>
        <w:tc>
          <w:tcPr>
            <w:tcW w:w="4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 (USD millions)</w:t>
            </w:r>
          </w:p>
        </w:tc>
        <w:tc>
          <w:tcPr>
            <w:tcW w:w="25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1,341</w:t>
            </w:r>
          </w:p>
        </w:tc>
        <w:tc>
          <w:tcPr>
            <w:tcW w:w="32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1,184</w:t>
            </w:r>
          </w:p>
        </w:tc>
        <w:tc>
          <w:tcPr>
            <w:tcW w:w="324"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13.3</w:t>
            </w:r>
          </w:p>
        </w:tc>
        <w:tc>
          <w:tcPr>
            <w:tcW w:w="357" w:type="dxa"/>
            <w:tcBorders/>
            <w:shd w:fill="CCEEFF" w:val="clear"/>
            <w:vAlign w:val="bottom"/>
          </w:tcPr>
          <w:p>
            <w:pPr>
              <w:pStyle w:val="TableContents"/>
              <w:bidi w:val="0"/>
              <w:spacing w:before="0" w:after="283"/>
              <w:jc w:val="left"/>
              <w:rPr/>
            </w:pPr>
            <w:r>
              <w:rPr/>
              <w:t>% </w:t>
            </w:r>
          </w:p>
        </w:tc>
      </w:tr>
      <w:tr>
        <w:trPr/>
        <w:tc>
          <w:tcPr>
            <w:tcW w:w="4476"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EBITDAR(1) (USD millions)</w:t>
            </w:r>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336</w:t>
            </w:r>
          </w:p>
        </w:tc>
        <w:tc>
          <w:tcPr>
            <w:tcW w:w="32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320</w:t>
            </w:r>
          </w:p>
        </w:tc>
        <w:tc>
          <w:tcPr>
            <w:tcW w:w="324"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5.0</w:t>
            </w:r>
          </w:p>
        </w:tc>
        <w:tc>
          <w:tcPr>
            <w:tcW w:w="357" w:type="dxa"/>
            <w:tcBorders/>
            <w:vAlign w:val="bottom"/>
          </w:tcPr>
          <w:p>
            <w:pPr>
              <w:pStyle w:val="TableContents"/>
              <w:bidi w:val="0"/>
              <w:spacing w:before="0" w:after="283"/>
              <w:jc w:val="left"/>
              <w:rPr/>
            </w:pPr>
            <w:r>
              <w:rPr/>
              <w:t>% </w:t>
            </w:r>
          </w:p>
        </w:tc>
      </w:tr>
      <w:tr>
        <w:trPr/>
        <w:tc>
          <w:tcPr>
            <w:tcW w:w="4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EBITDAR margin(1) (% of Revenue)</w:t>
            </w:r>
          </w:p>
        </w:tc>
        <w:tc>
          <w:tcPr>
            <w:tcW w:w="25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25</w:t>
            </w:r>
          </w:p>
        </w:tc>
        <w:tc>
          <w:tcPr>
            <w:tcW w:w="32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27</w:t>
            </w:r>
          </w:p>
        </w:tc>
        <w:tc>
          <w:tcPr>
            <w:tcW w:w="324"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(2.0 p.p.</w:t>
            </w:r>
          </w:p>
        </w:tc>
        <w:tc>
          <w:tcPr>
            <w:tcW w:w="357" w:type="dxa"/>
            <w:tcBorders/>
            <w:shd w:fill="CCEEFF" w:val="clear"/>
            <w:vAlign w:val="bottom"/>
          </w:tcPr>
          <w:p>
            <w:pPr>
              <w:pStyle w:val="TableContents"/>
              <w:bidi w:val="0"/>
              <w:spacing w:before="0" w:after="283"/>
              <w:jc w:val="left"/>
              <w:rPr/>
            </w:pPr>
            <w:r>
              <w:rPr/>
              <w:t>) </w:t>
            </w:r>
          </w:p>
        </w:tc>
      </w:tr>
      <w:tr>
        <w:trPr/>
        <w:tc>
          <w:tcPr>
            <w:tcW w:w="4476"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income (loss) (USD millions)</w:t>
            </w:r>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142</w:t>
            </w:r>
          </w:p>
        </w:tc>
        <w:tc>
          <w:tcPr>
            <w:tcW w:w="32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142</w:t>
            </w:r>
          </w:p>
        </w:tc>
        <w:tc>
          <w:tcPr>
            <w:tcW w:w="324"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(0.1</w:t>
            </w:r>
          </w:p>
        </w:tc>
        <w:tc>
          <w:tcPr>
            <w:tcW w:w="357" w:type="dxa"/>
            <w:tcBorders/>
            <w:vAlign w:val="bottom"/>
          </w:tcPr>
          <w:p>
            <w:pPr>
              <w:pStyle w:val="TableContents"/>
              <w:bidi w:val="0"/>
              <w:spacing w:before="0" w:after="283"/>
              <w:jc w:val="left"/>
              <w:rPr/>
            </w:pPr>
            <w:r>
              <w:rPr/>
              <w:t>%) </w:t>
            </w:r>
          </w:p>
        </w:tc>
      </w:tr>
      <w:tr>
        <w:trPr/>
        <w:tc>
          <w:tcPr>
            <w:tcW w:w="4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margin (% of Revenue)</w:t>
            </w:r>
          </w:p>
        </w:tc>
        <w:tc>
          <w:tcPr>
            <w:tcW w:w="25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11</w:t>
            </w:r>
          </w:p>
        </w:tc>
        <w:tc>
          <w:tcPr>
            <w:tcW w:w="32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12</w:t>
            </w:r>
          </w:p>
        </w:tc>
        <w:tc>
          <w:tcPr>
            <w:tcW w:w="324"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(1.4 p.p.</w:t>
            </w:r>
          </w:p>
        </w:tc>
        <w:tc>
          <w:tcPr>
            <w:tcW w:w="357" w:type="dxa"/>
            <w:tcBorders/>
            <w:shd w:fill="CCEEFF" w:val="clear"/>
            <w:vAlign w:val="bottom"/>
          </w:tcPr>
          <w:p>
            <w:pPr>
              <w:pStyle w:val="TableContents"/>
              <w:bidi w:val="0"/>
              <w:spacing w:before="0" w:after="283"/>
              <w:jc w:val="left"/>
              <w:rPr/>
            </w:pPr>
            <w:r>
              <w:rPr/>
              <w:t>) </w:t>
            </w:r>
          </w:p>
        </w:tc>
      </w:tr>
      <w:tr>
        <w:trPr>
          <w:trHeight w:val="240" w:hRule="atLeast"/>
        </w:trPr>
        <w:tc>
          <w:tcPr>
            <w:tcW w:w="4476" w:type="dxa"/>
            <w:tcBorders/>
            <w:vAlign w:val="center"/>
          </w:tcPr>
          <w:p>
            <w:pPr>
              <w:pStyle w:val="TableContents"/>
              <w:bidi w:val="0"/>
              <w:spacing w:before="0" w:after="283"/>
              <w:jc w:val="left"/>
              <w:rPr>
                <w:sz w:val="4"/>
                <w:szCs w:val="4"/>
              </w:rPr>
            </w:pPr>
            <w:r>
              <w:rPr>
                <w:sz w:val="4"/>
                <w:szCs w:val="4"/>
              </w:rPr>
            </w:r>
          </w:p>
        </w:tc>
        <w:tc>
          <w:tcPr>
            <w:tcW w:w="1306" w:type="dxa"/>
            <w:gridSpan w:val="4"/>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r>
      <w:tr>
        <w:trPr/>
        <w:tc>
          <w:tcPr>
            <w:tcW w:w="44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Key Operating Indicators</w:t>
            </w:r>
          </w:p>
        </w:tc>
        <w:tc>
          <w:tcPr>
            <w:tcW w:w="253" w:type="dxa"/>
            <w:tcBorders/>
            <w:vAlign w:val="bottom"/>
          </w:tcPr>
          <w:p>
            <w:pPr>
              <w:pStyle w:val="TableContents"/>
              <w:bidi w:val="0"/>
              <w:spacing w:before="0" w:after="283"/>
              <w:jc w:val="left"/>
              <w:rPr/>
            </w:pPr>
            <w:r>
              <w:rPr/>
              <w:t>  </w:t>
            </w:r>
          </w:p>
        </w:tc>
        <w:tc>
          <w:tcPr>
            <w:tcW w:w="7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1Q26</w:t>
            </w:r>
          </w:p>
        </w:tc>
        <w:tc>
          <w:tcPr>
            <w:tcW w:w="32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1Q25</w:t>
            </w:r>
          </w:p>
        </w:tc>
        <w:tc>
          <w:tcPr>
            <w:tcW w:w="324"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357" w:type="dxa"/>
            <w:tcBorders/>
            <w:vAlign w:val="bottom"/>
          </w:tcPr>
          <w:p>
            <w:pPr>
              <w:pStyle w:val="TableContents"/>
              <w:bidi w:val="0"/>
              <w:spacing w:before="0" w:after="283"/>
              <w:jc w:val="left"/>
              <w:rPr/>
            </w:pPr>
            <w:r>
              <w:rPr/>
              <w:t> </w:t>
            </w:r>
          </w:p>
        </w:tc>
      </w:tr>
      <w:tr>
        <w:trPr/>
        <w:tc>
          <w:tcPr>
            <w:tcW w:w="4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ASMs (millions)</w:t>
            </w:r>
          </w:p>
        </w:tc>
        <w:tc>
          <w:tcPr>
            <w:tcW w:w="25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8,596</w:t>
            </w:r>
          </w:p>
        </w:tc>
        <w:tc>
          <w:tcPr>
            <w:tcW w:w="32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8,697</w:t>
            </w:r>
          </w:p>
        </w:tc>
        <w:tc>
          <w:tcPr>
            <w:tcW w:w="324"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(1.2</w:t>
            </w:r>
          </w:p>
        </w:tc>
        <w:tc>
          <w:tcPr>
            <w:tcW w:w="357" w:type="dxa"/>
            <w:tcBorders/>
            <w:shd w:fill="CCEEFF" w:val="clear"/>
            <w:vAlign w:val="bottom"/>
          </w:tcPr>
          <w:p>
            <w:pPr>
              <w:pStyle w:val="TableContents"/>
              <w:bidi w:val="0"/>
              <w:spacing w:before="0" w:after="283"/>
              <w:jc w:val="left"/>
              <w:rPr/>
            </w:pPr>
            <w:r>
              <w:rPr/>
              <w:t>%) </w:t>
            </w:r>
          </w:p>
        </w:tc>
      </w:tr>
      <w:tr>
        <w:trPr/>
        <w:tc>
          <w:tcPr>
            <w:tcW w:w="4476" w:type="dxa"/>
            <w:tcBorders/>
          </w:tcPr>
          <w:p>
            <w:pPr>
              <w:pStyle w:val="TableContents"/>
              <w:bidi w:val="0"/>
              <w:spacing w:before="0" w:after="0"/>
              <w:jc w:val="left"/>
              <w:rPr>
                <w:rFonts w:ascii="Times New Roman" w:hAnsi="Times New Roman"/>
                <w:sz w:val="20"/>
              </w:rPr>
            </w:pPr>
            <w:r>
              <w:rPr>
                <w:rFonts w:ascii="Times New Roman" w:hAnsi="Times New Roman"/>
                <w:sz w:val="20"/>
              </w:rPr>
              <w:t>Passengers (‘000)</w:t>
            </w:r>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5,791</w:t>
            </w:r>
          </w:p>
        </w:tc>
        <w:tc>
          <w:tcPr>
            <w:tcW w:w="32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5,877</w:t>
            </w:r>
          </w:p>
        </w:tc>
        <w:tc>
          <w:tcPr>
            <w:tcW w:w="324"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(1.5</w:t>
            </w:r>
          </w:p>
        </w:tc>
        <w:tc>
          <w:tcPr>
            <w:tcW w:w="357" w:type="dxa"/>
            <w:tcBorders/>
            <w:vAlign w:val="bottom"/>
          </w:tcPr>
          <w:p>
            <w:pPr>
              <w:pStyle w:val="TableContents"/>
              <w:bidi w:val="0"/>
              <w:spacing w:before="0" w:after="283"/>
              <w:jc w:val="left"/>
              <w:rPr/>
            </w:pPr>
            <w:r>
              <w:rPr/>
              <w:t>%) </w:t>
            </w:r>
          </w:p>
        </w:tc>
      </w:tr>
      <w:tr>
        <w:trPr/>
        <w:tc>
          <w:tcPr>
            <w:tcW w:w="4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 / ASM (USD cents)</w:t>
            </w:r>
          </w:p>
        </w:tc>
        <w:tc>
          <w:tcPr>
            <w:tcW w:w="25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15.6</w:t>
            </w:r>
          </w:p>
        </w:tc>
        <w:tc>
          <w:tcPr>
            <w:tcW w:w="32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13.6</w:t>
            </w:r>
          </w:p>
        </w:tc>
        <w:tc>
          <w:tcPr>
            <w:tcW w:w="324"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14.6</w:t>
            </w:r>
          </w:p>
        </w:tc>
        <w:tc>
          <w:tcPr>
            <w:tcW w:w="357" w:type="dxa"/>
            <w:tcBorders/>
            <w:shd w:fill="CCEEFF" w:val="clear"/>
            <w:vAlign w:val="bottom"/>
          </w:tcPr>
          <w:p>
            <w:pPr>
              <w:pStyle w:val="TableContents"/>
              <w:bidi w:val="0"/>
              <w:spacing w:before="0" w:after="283"/>
              <w:jc w:val="left"/>
              <w:rPr/>
            </w:pPr>
            <w:r>
              <w:rPr/>
              <w:t>% </w:t>
            </w:r>
          </w:p>
        </w:tc>
      </w:tr>
      <w:tr>
        <w:trPr/>
        <w:tc>
          <w:tcPr>
            <w:tcW w:w="4476" w:type="dxa"/>
            <w:tcBorders/>
          </w:tcPr>
          <w:p>
            <w:pPr>
              <w:pStyle w:val="TableContents"/>
              <w:bidi w:val="0"/>
              <w:spacing w:before="0" w:after="0"/>
              <w:jc w:val="left"/>
              <w:rPr>
                <w:rFonts w:ascii="Times New Roman" w:hAnsi="Times New Roman"/>
                <w:sz w:val="20"/>
              </w:rPr>
            </w:pPr>
            <w:r>
              <w:rPr>
                <w:rFonts w:ascii="Times New Roman" w:hAnsi="Times New Roman"/>
                <w:sz w:val="20"/>
              </w:rPr>
              <w:t>Total cost / ASM (USD cents)</w:t>
            </w:r>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13.8</w:t>
            </w:r>
          </w:p>
        </w:tc>
        <w:tc>
          <w:tcPr>
            <w:tcW w:w="32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11.9</w:t>
            </w:r>
          </w:p>
        </w:tc>
        <w:tc>
          <w:tcPr>
            <w:tcW w:w="324"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16.0</w:t>
            </w:r>
          </w:p>
        </w:tc>
        <w:tc>
          <w:tcPr>
            <w:tcW w:w="357" w:type="dxa"/>
            <w:tcBorders/>
            <w:vAlign w:val="bottom"/>
          </w:tcPr>
          <w:p>
            <w:pPr>
              <w:pStyle w:val="TableContents"/>
              <w:bidi w:val="0"/>
              <w:spacing w:before="0" w:after="283"/>
              <w:jc w:val="left"/>
              <w:rPr/>
            </w:pPr>
            <w:r>
              <w:rPr/>
              <w:t>% </w:t>
            </w:r>
          </w:p>
        </w:tc>
      </w:tr>
      <w:tr>
        <w:trPr/>
        <w:tc>
          <w:tcPr>
            <w:tcW w:w="4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 excluding fuel / ASM (USD cents)</w:t>
            </w:r>
          </w:p>
        </w:tc>
        <w:tc>
          <w:tcPr>
            <w:tcW w:w="25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10.2</w:t>
            </w:r>
          </w:p>
        </w:tc>
        <w:tc>
          <w:tcPr>
            <w:tcW w:w="32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8.6</w:t>
            </w:r>
          </w:p>
        </w:tc>
        <w:tc>
          <w:tcPr>
            <w:tcW w:w="324"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17.8</w:t>
            </w:r>
          </w:p>
        </w:tc>
        <w:tc>
          <w:tcPr>
            <w:tcW w:w="357" w:type="dxa"/>
            <w:tcBorders/>
            <w:shd w:fill="CCEEFF" w:val="clear"/>
            <w:vAlign w:val="bottom"/>
          </w:tcPr>
          <w:p>
            <w:pPr>
              <w:pStyle w:val="TableContents"/>
              <w:bidi w:val="0"/>
              <w:spacing w:before="0" w:after="283"/>
              <w:jc w:val="left"/>
              <w:rPr/>
            </w:pPr>
            <w:r>
              <w:rPr/>
              <w:t>% </w:t>
            </w:r>
          </w:p>
        </w:tc>
      </w:tr>
      <w:tr>
        <w:trPr>
          <w:trHeight w:val="240" w:hRule="atLeast"/>
        </w:trPr>
        <w:tc>
          <w:tcPr>
            <w:tcW w:w="4476" w:type="dxa"/>
            <w:tcBorders/>
            <w:vAlign w:val="center"/>
          </w:tcPr>
          <w:p>
            <w:pPr>
              <w:pStyle w:val="TableContents"/>
              <w:bidi w:val="0"/>
              <w:spacing w:before="0" w:after="283"/>
              <w:jc w:val="left"/>
              <w:rPr>
                <w:sz w:val="4"/>
                <w:szCs w:val="4"/>
              </w:rPr>
            </w:pPr>
            <w:r>
              <w:rPr>
                <w:sz w:val="4"/>
                <w:szCs w:val="4"/>
              </w:rPr>
            </w:r>
          </w:p>
        </w:tc>
        <w:tc>
          <w:tcPr>
            <w:tcW w:w="1306" w:type="dxa"/>
            <w:gridSpan w:val="4"/>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r>
      <w:tr>
        <w:trPr/>
        <w:tc>
          <w:tcPr>
            <w:tcW w:w="44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Foreign Exchange*</w:t>
            </w:r>
          </w:p>
        </w:tc>
        <w:tc>
          <w:tcPr>
            <w:tcW w:w="253" w:type="dxa"/>
            <w:tcBorders/>
            <w:vAlign w:val="bottom"/>
          </w:tcPr>
          <w:p>
            <w:pPr>
              <w:pStyle w:val="TableContents"/>
              <w:bidi w:val="0"/>
              <w:spacing w:before="0" w:after="283"/>
              <w:jc w:val="left"/>
              <w:rPr/>
            </w:pPr>
            <w:r>
              <w:rPr/>
              <w:t>  </w:t>
            </w:r>
          </w:p>
        </w:tc>
        <w:tc>
          <w:tcPr>
            <w:tcW w:w="7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1Q26</w:t>
            </w:r>
          </w:p>
        </w:tc>
        <w:tc>
          <w:tcPr>
            <w:tcW w:w="32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1Q25</w:t>
            </w:r>
          </w:p>
        </w:tc>
        <w:tc>
          <w:tcPr>
            <w:tcW w:w="324"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357" w:type="dxa"/>
            <w:tcBorders/>
            <w:vAlign w:val="bottom"/>
          </w:tcPr>
          <w:p>
            <w:pPr>
              <w:pStyle w:val="TableContents"/>
              <w:bidi w:val="0"/>
              <w:spacing w:before="0" w:after="283"/>
              <w:jc w:val="left"/>
              <w:rPr/>
            </w:pPr>
            <w:r>
              <w:rPr/>
              <w:t> </w:t>
            </w:r>
          </w:p>
        </w:tc>
      </w:tr>
      <w:tr>
        <w:trPr/>
        <w:tc>
          <w:tcPr>
            <w:tcW w:w="4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w:t>
            </w:r>
          </w:p>
        </w:tc>
        <w:tc>
          <w:tcPr>
            <w:tcW w:w="25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17.58</w:t>
            </w:r>
          </w:p>
        </w:tc>
        <w:tc>
          <w:tcPr>
            <w:tcW w:w="32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20.43</w:t>
            </w:r>
          </w:p>
        </w:tc>
        <w:tc>
          <w:tcPr>
            <w:tcW w:w="324"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(14.0</w:t>
            </w:r>
          </w:p>
        </w:tc>
        <w:tc>
          <w:tcPr>
            <w:tcW w:w="35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Figures may not sum to total due to rounding.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i/>
              </w:rPr>
            </w:pPr>
            <w:r>
              <w:rPr>
                <w:i/>
              </w:rPr>
              <w:t>*</w:t>
            </w:r>
          </w:p>
        </w:tc>
        <w:tc>
          <w:tcPr>
            <w:tcW w:w="9800"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Source: Company with information from Banxico.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4067175" cy="485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067175" cy="485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INCOME STATEMENT DISCUSSION </w:t>
      </w:r>
    </w:p>
    <w:p>
      <w:pPr>
        <w:pStyle w:val="TextBody"/>
        <w:bidi w:val="0"/>
        <w:spacing w:before="120" w:after="0"/>
        <w:jc w:val="left"/>
        <w:rPr>
          <w:rFonts w:ascii="Times New Roman" w:hAnsi="Times New Roman"/>
          <w:b/>
          <w:sz w:val="20"/>
        </w:rPr>
      </w:pPr>
      <w:r>
        <w:rPr>
          <w:rFonts w:ascii="Times New Roman" w:hAnsi="Times New Roman"/>
          <w:b/>
          <w:sz w:val="20"/>
        </w:rPr>
        <w:t xml:space="preserve">1Q 2026 Revenue </w:t>
      </w:r>
    </w:p>
    <w:p>
      <w:pPr>
        <w:pStyle w:val="TextBody"/>
        <w:bidi w:val="0"/>
        <w:spacing w:before="120" w:after="0"/>
        <w:jc w:val="left"/>
        <w:rPr>
          <w:rFonts w:ascii="Times New Roman" w:hAnsi="Times New Roman"/>
          <w:sz w:val="20"/>
        </w:rPr>
      </w:pPr>
      <w:r>
        <w:rPr>
          <w:rFonts w:ascii="Times New Roman" w:hAnsi="Times New Roman"/>
          <w:b/>
          <w:sz w:val="20"/>
        </w:rPr>
        <w:t>Total revenue</w:t>
      </w:r>
      <w:r>
        <w:rPr>
          <w:rFonts w:ascii="Times New Roman" w:hAnsi="Times New Roman"/>
          <w:sz w:val="20"/>
        </w:rPr>
        <w:t xml:space="preserve"> for the first quarter of 2026 reached $1.3 billion, representing a 13.3% year-over-year increase. This growth was driven by our continuous focus on premium revenue(2), the sustained recovery in demand that began in the latter half of 2025, and the strengthening of the Mexican peso, contributing to robust revenue performance during the quarter. </w:t>
      </w:r>
    </w:p>
    <w:p>
      <w:pPr>
        <w:pStyle w:val="TextBody"/>
        <w:bidi w:val="0"/>
        <w:spacing w:before="240" w:after="0"/>
        <w:jc w:val="left"/>
        <w:rPr>
          <w:rFonts w:ascii="Times New Roman" w:hAnsi="Times New Roman"/>
          <w:sz w:val="20"/>
        </w:rPr>
      </w:pPr>
      <w:r>
        <w:rPr>
          <w:rFonts w:ascii="Times New Roman" w:hAnsi="Times New Roman"/>
          <w:sz w:val="20"/>
        </w:rPr>
        <w:t xml:space="preserve">Our premium revenue(3) mix climbed to 42% of passenger-related revenue, up from 41% in 1Q25, demonstrating strong demand for higher-yield services across our network. These overall results reflect demand resilience, notwithstanding localized disruptions in February that affected certain regions in Mexico and transborder markets originating in the United States. </w:t>
      </w:r>
    </w:p>
    <w:p>
      <w:pPr>
        <w:pStyle w:val="TextBody"/>
        <w:bidi w:val="0"/>
        <w:spacing w:before="240" w:after="0"/>
        <w:jc w:val="left"/>
        <w:rPr>
          <w:rFonts w:ascii="Times New Roman" w:hAnsi="Times New Roman"/>
          <w:sz w:val="20"/>
        </w:rPr>
      </w:pPr>
      <w:r>
        <w:rPr>
          <w:rFonts w:ascii="Times New Roman" w:hAnsi="Times New Roman"/>
          <w:b/>
          <w:sz w:val="20"/>
        </w:rPr>
        <w:t xml:space="preserve">Total revenue per Available Seat Mile (“TRASM”) </w:t>
      </w:r>
      <w:r>
        <w:rPr>
          <w:rFonts w:ascii="Times New Roman" w:hAnsi="Times New Roman"/>
          <w:sz w:val="20"/>
        </w:rPr>
        <w:t xml:space="preserve">reached 15.6¢, marking a 14.6% year-over-year increase. The upward trend in TRASM was largely attributed to a 2.2 percentage point improvement in load factor, an increase of over $100.0 million in both domestic and international passenger revenue, and the appreciation of the Mexican peso. ASM volume decreased by 1.2%, reflecting disciplined capacity management, with domestic capacity down 2.8% compared to the previous year.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our total revenue breakdown during the indicated periods: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227"/>
        <w:gridCol w:w="266"/>
        <w:gridCol w:w="60"/>
        <w:gridCol w:w="575"/>
        <w:gridCol w:w="60"/>
        <w:gridCol w:w="266"/>
        <w:gridCol w:w="60"/>
        <w:gridCol w:w="575"/>
        <w:gridCol w:w="60"/>
        <w:gridCol w:w="266"/>
        <w:gridCol w:w="94"/>
        <w:gridCol w:w="739"/>
        <w:gridCol w:w="324"/>
      </w:tblGrid>
      <w:tr>
        <w:trPr/>
        <w:tc>
          <w:tcPr>
            <w:tcW w:w="5227"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5227" w:type="dxa"/>
            <w:vMerge w:val="restart"/>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Total Revenue</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(USD million)</w:t>
            </w:r>
          </w:p>
        </w:tc>
        <w:tc>
          <w:tcPr>
            <w:tcW w:w="266" w:type="dxa"/>
            <w:tcBorders/>
            <w:vAlign w:val="bottom"/>
          </w:tcPr>
          <w:p>
            <w:pPr>
              <w:pStyle w:val="TableContents"/>
              <w:bidi w:val="0"/>
              <w:spacing w:before="0" w:after="283"/>
              <w:jc w:val="left"/>
              <w:rPr/>
            </w:pPr>
            <w:r>
              <w:rPr/>
              <w:t>  </w:t>
            </w:r>
          </w:p>
        </w:tc>
        <w:tc>
          <w:tcPr>
            <w:tcW w:w="2755" w:type="dxa"/>
            <w:gridSpan w:val="10"/>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Three months ended</w:t>
            </w:r>
          </w:p>
          <w:p>
            <w:pPr>
              <w:pStyle w:val="TableContents"/>
              <w:bidi w:val="0"/>
              <w:spacing w:before="0" w:after="20"/>
              <w:jc w:val="center"/>
              <w:rPr>
                <w:rFonts w:ascii="Times New Roman" w:hAnsi="Times New Roman"/>
                <w:b/>
                <w:sz w:val="16"/>
              </w:rPr>
            </w:pPr>
            <w:r>
              <w:rPr>
                <w:rFonts w:ascii="Times New Roman" w:hAnsi="Times New Roman"/>
                <w:b/>
                <w:sz w:val="16"/>
              </w:rPr>
              <w:t>March 31</w:t>
            </w:r>
          </w:p>
        </w:tc>
        <w:tc>
          <w:tcPr>
            <w:tcW w:w="324" w:type="dxa"/>
            <w:tcBorders/>
            <w:vAlign w:val="bottom"/>
          </w:tcPr>
          <w:p>
            <w:pPr>
              <w:pStyle w:val="TableContents"/>
              <w:bidi w:val="0"/>
              <w:spacing w:before="0" w:after="283"/>
              <w:jc w:val="left"/>
              <w:rPr/>
            </w:pPr>
            <w:r>
              <w:rPr/>
              <w:t> </w:t>
            </w:r>
          </w:p>
        </w:tc>
      </w:tr>
      <w:tr>
        <w:trPr/>
        <w:tc>
          <w:tcPr>
            <w:tcW w:w="5227" w:type="dxa"/>
            <w:vMerge w:val="continue"/>
            <w:tcBorders/>
            <w:vAlign w:val="bottom"/>
          </w:tcPr>
          <w:p>
            <w:pPr>
              <w:pStyle w:val="Normal"/>
              <w:bidi w:val="0"/>
              <w:jc w:val="left"/>
              <w:rPr/>
            </w:pPr>
            <w:r>
              <w:rPr/>
            </w:r>
          </w:p>
        </w:tc>
        <w:tc>
          <w:tcPr>
            <w:tcW w:w="266"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324" w:type="dxa"/>
            <w:tcBorders/>
            <w:vAlign w:val="bottom"/>
          </w:tcPr>
          <w:p>
            <w:pPr>
              <w:pStyle w:val="TableContents"/>
              <w:bidi w:val="0"/>
              <w:spacing w:before="0" w:after="283"/>
              <w:jc w:val="left"/>
              <w:rPr/>
            </w:pPr>
            <w:r>
              <w:rPr/>
              <w:t> </w:t>
            </w:r>
          </w:p>
        </w:tc>
      </w:tr>
      <w:tr>
        <w:trPr/>
        <w:tc>
          <w:tcPr>
            <w:tcW w:w="5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2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494</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438</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12.7</w:t>
            </w:r>
          </w:p>
        </w:tc>
        <w:tc>
          <w:tcPr>
            <w:tcW w:w="324" w:type="dxa"/>
            <w:tcBorders/>
            <w:shd w:fill="CCEEFF" w:val="clear"/>
            <w:vAlign w:val="bottom"/>
          </w:tcPr>
          <w:p>
            <w:pPr>
              <w:pStyle w:val="TableContents"/>
              <w:bidi w:val="0"/>
              <w:spacing w:before="0" w:after="283"/>
              <w:jc w:val="left"/>
              <w:rPr/>
            </w:pPr>
            <w:r>
              <w:rPr/>
              <w:t>% </w:t>
            </w:r>
          </w:p>
        </w:tc>
      </w:tr>
      <w:tr>
        <w:trPr/>
        <w:tc>
          <w:tcPr>
            <w:tcW w:w="5227"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847</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746</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13.6</w:t>
            </w:r>
          </w:p>
        </w:tc>
        <w:tc>
          <w:tcPr>
            <w:tcW w:w="324" w:type="dxa"/>
            <w:tcBorders/>
            <w:vAlign w:val="bottom"/>
          </w:tcPr>
          <w:p>
            <w:pPr>
              <w:pStyle w:val="TableContents"/>
              <w:bidi w:val="0"/>
              <w:spacing w:before="0" w:after="283"/>
              <w:jc w:val="left"/>
              <w:rPr/>
            </w:pPr>
            <w:r>
              <w:rPr/>
              <w:t>% </w:t>
            </w:r>
          </w:p>
        </w:tc>
      </w:tr>
      <w:tr>
        <w:trPr/>
        <w:tc>
          <w:tcPr>
            <w:tcW w:w="522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2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1,341</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1,184</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b/>
              </w:rPr>
            </w:pPr>
            <w:r>
              <w:rPr>
                <w:b/>
              </w:rPr>
              <w:t>13.3</w:t>
            </w:r>
          </w:p>
        </w:tc>
        <w:tc>
          <w:tcPr>
            <w:tcW w:w="324" w:type="dxa"/>
            <w:tcBorders/>
            <w:shd w:fill="CCEEFF" w:val="clear"/>
            <w:vAlign w:val="bottom"/>
          </w:tcPr>
          <w:p>
            <w:pPr>
              <w:pStyle w:val="TableContents"/>
              <w:bidi w:val="0"/>
              <w:spacing w:before="0" w:after="283"/>
              <w:jc w:val="left"/>
              <w:rPr>
                <w:b/>
              </w:rPr>
            </w:pPr>
            <w:r>
              <w:rPr>
                <w:b/>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Figures may not sum to total due to rounding. </w:t>
      </w:r>
    </w:p>
    <w:p>
      <w:pPr>
        <w:pStyle w:val="TextBody"/>
        <w:bidi w:val="0"/>
        <w:spacing w:before="360" w:after="0"/>
        <w:jc w:val="left"/>
        <w:rPr>
          <w:rFonts w:ascii="Times New Roman" w:hAnsi="Times New Roman"/>
          <w:b/>
          <w:sz w:val="20"/>
        </w:rPr>
      </w:pPr>
      <w:r>
        <w:rPr>
          <w:rFonts w:ascii="Times New Roman" w:hAnsi="Times New Roman"/>
          <w:b/>
          <w:sz w:val="20"/>
        </w:rPr>
        <w:t xml:space="preserve">1Q 2026 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In 1Q26, </w:t>
      </w:r>
      <w:r>
        <w:rPr>
          <w:rFonts w:ascii="Times New Roman" w:hAnsi="Times New Roman"/>
          <w:b/>
          <w:sz w:val="20"/>
        </w:rPr>
        <w:t>total operating expenses</w:t>
      </w:r>
      <w:r>
        <w:rPr>
          <w:rFonts w:ascii="Times New Roman" w:hAnsi="Times New Roman"/>
          <w:sz w:val="20"/>
        </w:rPr>
        <w:t xml:space="preserve"> –including fuel, labor, maintenance, passenger and aircraft services, aircraft leases, depreciation and amortization– reached $1.2 billion, a 15.1% increase compared to 1Q25. The increase was primarily driven by the impact of the Mexican peso’s appreciation on peso-denominated expenses, inflation in wages, salaries, and benefits, increased depreciation and amortization associated with the fleet expansion in 2025, and elevated fuel prices triggered by global geopolitical events since late February. </w:t>
      </w:r>
    </w:p>
    <w:p>
      <w:pPr>
        <w:pStyle w:val="TextBody"/>
        <w:bidi w:val="0"/>
        <w:spacing w:before="240" w:after="0"/>
        <w:jc w:val="left"/>
        <w:rPr>
          <w:rFonts w:ascii="Times New Roman" w:hAnsi="Times New Roman"/>
          <w:sz w:val="20"/>
        </w:rPr>
      </w:pPr>
      <w:r>
        <w:rPr>
          <w:rFonts w:ascii="Times New Roman" w:hAnsi="Times New Roman"/>
          <w:b/>
          <w:sz w:val="20"/>
        </w:rPr>
        <w:t>Fuel cost per liter</w:t>
      </w:r>
      <w:r>
        <w:rPr>
          <w:rFonts w:ascii="Times New Roman" w:hAnsi="Times New Roman"/>
          <w:sz w:val="20"/>
        </w:rPr>
        <w:t xml:space="preserve"> increased 13.1% compared to 1Q25, averaging 77¢ per liter in 1Q26 compared to 68¢ per liter in 1Q25. </w:t>
      </w:r>
      <w:r>
        <w:rPr>
          <w:rFonts w:ascii="Times New Roman" w:hAnsi="Times New Roman"/>
          <w:b/>
          <w:sz w:val="20"/>
        </w:rPr>
        <w:t>Fuel consumption</w:t>
      </w:r>
      <w:r>
        <w:rPr>
          <w:rFonts w:ascii="Times New Roman" w:hAnsi="Times New Roman"/>
          <w:sz w:val="20"/>
        </w:rPr>
        <w:t xml:space="preserve"> decreased by 2.6% year-over-year, while </w:t>
      </w:r>
      <w:r>
        <w:rPr>
          <w:rFonts w:ascii="Times New Roman" w:hAnsi="Times New Roman"/>
          <w:b/>
          <w:sz w:val="20"/>
        </w:rPr>
        <w:t xml:space="preserve">fuel burn per ASM </w:t>
      </w:r>
      <w:r>
        <w:rPr>
          <w:rFonts w:ascii="Times New Roman" w:hAnsi="Times New Roman"/>
          <w:sz w:val="20"/>
        </w:rPr>
        <w:t xml:space="preserve">(liters of fuel consumed per ASM) decreased by 1.4%, mainly due to a more efficient fleet mix.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4067175" cy="485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067175" cy="485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Cost per ASM excluding fuel (CASM-Ex)</w:t>
      </w:r>
      <w:r>
        <w:rPr>
          <w:rFonts w:ascii="Times New Roman" w:hAnsi="Times New Roman"/>
          <w:sz w:val="20"/>
        </w:rPr>
        <w:t xml:space="preserve"> was 10.2¢ in 1Q26, representing an increase of 17.8% compared to the same period in 2025. This rise was primarily driven by a 14.0% appreciation of the Mexican peso, increased ownership costs attributable to additions to the aircraft fleet in 2025, higher labor expenses associated with inflation-related salary adjustments, and the expansion of international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1Q 2026 Adjusted EBITDAR(1) and Operating Income </w:t>
      </w:r>
    </w:p>
    <w:p>
      <w:pPr>
        <w:pStyle w:val="TextBody"/>
        <w:bidi w:val="0"/>
        <w:spacing w:before="120" w:after="0"/>
        <w:jc w:val="left"/>
        <w:rPr>
          <w:rFonts w:ascii="Times New Roman" w:hAnsi="Times New Roman"/>
          <w:sz w:val="20"/>
        </w:rPr>
      </w:pPr>
      <w:r>
        <w:rPr>
          <w:rFonts w:ascii="Times New Roman" w:hAnsi="Times New Roman"/>
          <w:b/>
          <w:sz w:val="20"/>
        </w:rPr>
        <w:t>Adjusted EBITDAR(1)</w:t>
      </w:r>
      <w:r>
        <w:rPr>
          <w:rFonts w:ascii="Times New Roman" w:hAnsi="Times New Roman"/>
          <w:sz w:val="20"/>
        </w:rPr>
        <w:t xml:space="preserve"> for the first quarter amounted to $335.8 million with a 25.0% margin. This result represents a 5.0% increase compared to 1Q25, notwithstanding higher fuel costs and localized demand disruptions affecting revenue in specific regions of Mexico. </w:t>
      </w:r>
    </w:p>
    <w:p>
      <w:pPr>
        <w:pStyle w:val="TextBody"/>
        <w:bidi w:val="0"/>
        <w:spacing w:before="240" w:after="0"/>
        <w:jc w:val="left"/>
        <w:rPr>
          <w:rFonts w:ascii="Times New Roman" w:hAnsi="Times New Roman"/>
          <w:sz w:val="20"/>
        </w:rPr>
      </w:pPr>
      <w:r>
        <w:rPr>
          <w:rFonts w:ascii="Times New Roman" w:hAnsi="Times New Roman"/>
          <w:b/>
          <w:sz w:val="20"/>
        </w:rPr>
        <w:t xml:space="preserve">Operating income </w:t>
      </w:r>
      <w:r>
        <w:rPr>
          <w:rFonts w:ascii="Times New Roman" w:hAnsi="Times New Roman"/>
          <w:sz w:val="20"/>
        </w:rPr>
        <w:t xml:space="preserve">for the first quarter reached $141.8 million, with a margin of 10.6%. This result corresponds with the lower end of the guidance range issued in the previous quarter. </w:t>
      </w:r>
    </w:p>
    <w:p>
      <w:pPr>
        <w:pStyle w:val="TextBody"/>
        <w:bidi w:val="0"/>
        <w:spacing w:before="360" w:after="0"/>
        <w:jc w:val="left"/>
        <w:rPr>
          <w:rFonts w:ascii="Times New Roman" w:hAnsi="Times New Roman"/>
          <w:b/>
          <w:sz w:val="20"/>
        </w:rPr>
      </w:pPr>
      <w:r>
        <w:rPr>
          <w:rFonts w:ascii="Times New Roman" w:hAnsi="Times New Roman"/>
          <w:b/>
          <w:sz w:val="20"/>
        </w:rPr>
        <w:t xml:space="preserve">1Q 2026 Net Financing Cost </w:t>
      </w:r>
    </w:p>
    <w:p>
      <w:pPr>
        <w:pStyle w:val="TextBody"/>
        <w:bidi w:val="0"/>
        <w:spacing w:before="120" w:after="0"/>
        <w:jc w:val="left"/>
        <w:rPr>
          <w:rFonts w:ascii="Times New Roman" w:hAnsi="Times New Roman"/>
          <w:sz w:val="20"/>
        </w:rPr>
      </w:pPr>
      <w:r>
        <w:rPr>
          <w:rFonts w:ascii="Times New Roman" w:hAnsi="Times New Roman"/>
          <w:b/>
          <w:sz w:val="20"/>
        </w:rPr>
        <w:t>Net financing costs</w:t>
      </w:r>
      <w:r>
        <w:rPr>
          <w:rFonts w:ascii="Times New Roman" w:hAnsi="Times New Roman"/>
          <w:sz w:val="20"/>
        </w:rPr>
        <w:t xml:space="preserve"> increased by $14.6 million compared to the same period in 2025, primarily due to increased net foreign exchange losses. In 1Q26, foreign exchange loss grew by $6.8 million, while financial expenses increased by $7.8 million, largely reflecting higher interest expenses from lease obligations associated with fleet expansion. </w:t>
      </w:r>
    </w:p>
    <w:p>
      <w:pPr>
        <w:pStyle w:val="TextBody"/>
        <w:bidi w:val="0"/>
        <w:spacing w:before="360" w:after="0"/>
        <w:jc w:val="left"/>
        <w:rPr>
          <w:rFonts w:ascii="Times New Roman" w:hAnsi="Times New Roman"/>
          <w:b/>
          <w:sz w:val="20"/>
        </w:rPr>
      </w:pPr>
      <w:r>
        <w:rPr>
          <w:rFonts w:ascii="Times New Roman" w:hAnsi="Times New Roman"/>
          <w:b/>
          <w:sz w:val="20"/>
        </w:rPr>
        <w:t xml:space="preserve">1Q 2026 Net Income </w:t>
      </w:r>
    </w:p>
    <w:p>
      <w:pPr>
        <w:pStyle w:val="TextBody"/>
        <w:bidi w:val="0"/>
        <w:spacing w:before="120" w:after="0"/>
        <w:jc w:val="left"/>
        <w:rPr>
          <w:rFonts w:ascii="Times New Roman" w:hAnsi="Times New Roman"/>
          <w:sz w:val="20"/>
        </w:rPr>
      </w:pPr>
      <w:r>
        <w:rPr>
          <w:rFonts w:ascii="Times New Roman" w:hAnsi="Times New Roman"/>
          <w:sz w:val="20"/>
        </w:rPr>
        <w:t xml:space="preserve">Net income in 1Q26 totaled $10.7 million with a 0.8% margin. </w:t>
      </w:r>
    </w:p>
    <w:p>
      <w:pPr>
        <w:pStyle w:val="TextBody"/>
        <w:bidi w:val="0"/>
        <w:spacing w:before="360" w:after="0"/>
        <w:jc w:val="left"/>
        <w:rPr>
          <w:rFonts w:ascii="Times New Roman" w:hAnsi="Times New Roman"/>
          <w:b/>
          <w:sz w:val="20"/>
        </w:rPr>
      </w:pPr>
      <w:r>
        <w:rPr>
          <w:rFonts w:ascii="Times New Roman" w:hAnsi="Times New Roman"/>
          <w:b/>
          <w:sz w:val="20"/>
        </w:rPr>
        <w:t xml:space="preserve">BALANCE SHEET AND CASH FLOW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Aeroméxico reported </w:t>
      </w:r>
      <w:r>
        <w:rPr>
          <w:rFonts w:ascii="Times New Roman" w:hAnsi="Times New Roman"/>
          <w:b/>
          <w:sz w:val="20"/>
        </w:rPr>
        <w:t xml:space="preserve">cash and cash equivalents, and short-term investments </w:t>
      </w:r>
      <w:r>
        <w:rPr>
          <w:rFonts w:ascii="Times New Roman" w:hAnsi="Times New Roman"/>
          <w:sz w:val="20"/>
        </w:rPr>
        <w:t xml:space="preserve">totaling $1.0 billion. This is an increase of $178.0 million compared to the same quarter in the previous year and $21.0 million higher than at year-end 2025, despite the usual seasonal weakness of the quarter. Including the $200.0 million revolving credit facility secured in 3Q24, total liquidity reached $1.2 billion. This represents a ratio of </w:t>
      </w:r>
      <w:r>
        <w:rPr>
          <w:rFonts w:ascii="Times New Roman" w:hAnsi="Times New Roman"/>
          <w:b/>
          <w:sz w:val="20"/>
        </w:rPr>
        <w:t>liquidity</w:t>
      </w:r>
      <w:r>
        <w:rPr>
          <w:rFonts w:ascii="Times New Roman" w:hAnsi="Times New Roman"/>
          <w:sz w:val="20"/>
        </w:rPr>
        <w:t xml:space="preserve"> to last-twelve-month revenues of 22.6%. </w:t>
      </w:r>
    </w:p>
    <w:p>
      <w:pPr>
        <w:pStyle w:val="TextBody"/>
        <w:bidi w:val="0"/>
        <w:spacing w:before="240" w:after="0"/>
        <w:jc w:val="left"/>
        <w:rPr>
          <w:rFonts w:ascii="Times New Roman" w:hAnsi="Times New Roman"/>
          <w:sz w:val="20"/>
        </w:rPr>
      </w:pPr>
      <w:r>
        <w:rPr>
          <w:rFonts w:ascii="Times New Roman" w:hAnsi="Times New Roman"/>
          <w:sz w:val="20"/>
        </w:rPr>
        <w:t xml:space="preserve">In 1Q26, Aeroméxico generated $200.6 million in </w:t>
      </w:r>
      <w:r>
        <w:rPr>
          <w:rFonts w:ascii="Times New Roman" w:hAnsi="Times New Roman"/>
          <w:b/>
          <w:sz w:val="20"/>
        </w:rPr>
        <w:t>net cash from operating activities</w:t>
      </w:r>
      <w:r>
        <w:rPr>
          <w:rFonts w:ascii="Times New Roman" w:hAnsi="Times New Roman"/>
          <w:sz w:val="20"/>
        </w:rPr>
        <w:t xml:space="preserve">, which allowed the Company to continue with its investment and deleveraging programs. </w:t>
      </w:r>
    </w:p>
    <w:p>
      <w:pPr>
        <w:pStyle w:val="TextBody"/>
        <w:bidi w:val="0"/>
        <w:spacing w:before="240" w:after="0"/>
        <w:jc w:val="left"/>
        <w:rPr>
          <w:rFonts w:ascii="Times New Roman" w:hAnsi="Times New Roman"/>
          <w:sz w:val="20"/>
        </w:rPr>
      </w:pPr>
      <w:r>
        <w:rPr>
          <w:rFonts w:ascii="Times New Roman" w:hAnsi="Times New Roman"/>
          <w:sz w:val="20"/>
        </w:rPr>
        <w:t xml:space="preserve">During the first quarter, the Company repaid $9.3 million of </w:t>
      </w:r>
      <w:r>
        <w:rPr>
          <w:rFonts w:ascii="Times New Roman" w:hAnsi="Times New Roman"/>
          <w:b/>
          <w:sz w:val="20"/>
        </w:rPr>
        <w:t>financial debt.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4067175" cy="485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067175" cy="485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OPERATING FLEET </w:t>
      </w:r>
    </w:p>
    <w:p>
      <w:pPr>
        <w:pStyle w:val="TextBody"/>
        <w:bidi w:val="0"/>
        <w:spacing w:before="120" w:after="0"/>
        <w:jc w:val="left"/>
        <w:rPr>
          <w:rFonts w:ascii="Times New Roman" w:hAnsi="Times New Roman"/>
          <w:sz w:val="20"/>
        </w:rPr>
      </w:pPr>
      <w:r>
        <w:rPr>
          <w:rFonts w:ascii="Times New Roman" w:hAnsi="Times New Roman"/>
          <w:sz w:val="20"/>
        </w:rPr>
        <w:t xml:space="preserve">During 1Q26, Grupo Aeroméxico received one Boeing 787-9 aircraft. </w:t>
      </w:r>
    </w:p>
    <w:p>
      <w:pPr>
        <w:pStyle w:val="TextBody"/>
        <w:bidi w:val="0"/>
        <w:spacing w:before="240" w:after="0"/>
        <w:jc w:val="left"/>
        <w:rPr>
          <w:rFonts w:ascii="Times New Roman" w:hAnsi="Times New Roman"/>
          <w:sz w:val="20"/>
        </w:rPr>
      </w:pPr>
      <w:r>
        <w:rPr>
          <w:rFonts w:ascii="Times New Roman" w:hAnsi="Times New Roman"/>
          <w:sz w:val="20"/>
        </w:rPr>
        <w:t xml:space="preserve">Aeroméxico’s operating fleet was comprised of 166 aircraft as of March 31, 2026, with an average age of 8.8 years. </w:t>
      </w:r>
    </w:p>
    <w:p>
      <w:pPr>
        <w:pStyle w:val="TextBody"/>
        <w:bidi w:val="0"/>
        <w:spacing w:before="480" w:after="0"/>
        <w:jc w:val="center"/>
        <w:rPr>
          <w:rFonts w:ascii="Times New Roman" w:hAnsi="Times New Roman"/>
          <w:b/>
          <w:sz w:val="20"/>
        </w:rPr>
      </w:pPr>
      <w:r>
        <w:rPr>
          <w:rFonts w:ascii="Times New Roman" w:hAnsi="Times New Roman"/>
          <w:b/>
          <w:sz w:val="20"/>
        </w:rPr>
        <w:t xml:space="preserve">OPERATING FLEET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012"/>
        <w:gridCol w:w="219"/>
        <w:gridCol w:w="76"/>
        <w:gridCol w:w="488"/>
        <w:gridCol w:w="60"/>
        <w:gridCol w:w="219"/>
        <w:gridCol w:w="76"/>
        <w:gridCol w:w="488"/>
        <w:gridCol w:w="60"/>
        <w:gridCol w:w="219"/>
        <w:gridCol w:w="76"/>
        <w:gridCol w:w="488"/>
        <w:gridCol w:w="60"/>
        <w:gridCol w:w="219"/>
        <w:gridCol w:w="76"/>
        <w:gridCol w:w="487"/>
        <w:gridCol w:w="65"/>
      </w:tblGrid>
      <w:tr>
        <w:trPr/>
        <w:tc>
          <w:tcPr>
            <w:tcW w:w="6012"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01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Fleet</w:t>
            </w:r>
          </w:p>
        </w:tc>
        <w:tc>
          <w:tcPr>
            <w:tcW w:w="219" w:type="dxa"/>
            <w:tcBorders/>
            <w:vAlign w:val="bottom"/>
          </w:tcPr>
          <w:p>
            <w:pPr>
              <w:pStyle w:val="TableContents"/>
              <w:bidi w:val="0"/>
              <w:spacing w:before="0" w:after="283"/>
              <w:jc w:val="left"/>
              <w:rPr/>
            </w:pPr>
            <w:r>
              <w:rPr/>
              <w:t>  </w:t>
            </w:r>
          </w:p>
        </w:tc>
        <w:tc>
          <w:tcPr>
            <w:tcW w:w="5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2Q25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3Q25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1Q26</w:t>
            </w:r>
          </w:p>
        </w:tc>
        <w:tc>
          <w:tcPr>
            <w:tcW w:w="65" w:type="dxa"/>
            <w:tcBorders/>
            <w:vAlign w:val="bottom"/>
          </w:tcPr>
          <w:p>
            <w:pPr>
              <w:pStyle w:val="TableContents"/>
              <w:bidi w:val="0"/>
              <w:spacing w:before="0" w:after="283"/>
              <w:jc w:val="left"/>
              <w:rPr/>
            </w:pPr>
            <w:r>
              <w:rPr/>
              <w:t> </w:t>
            </w:r>
          </w:p>
        </w:tc>
      </w:tr>
      <w:tr>
        <w:trPr/>
        <w:tc>
          <w:tcPr>
            <w:tcW w:w="60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B-737-800</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right"/>
              <w:rPr/>
            </w:pPr>
            <w:r>
              <w:rPr/>
              <w:t>34</w:t>
            </w:r>
          </w:p>
        </w:tc>
        <w:tc>
          <w:tcPr>
            <w:tcW w:w="65" w:type="dxa"/>
            <w:tcBorders/>
            <w:shd w:fill="CCEEFF" w:val="clear"/>
            <w:vAlign w:val="bottom"/>
          </w:tcPr>
          <w:p>
            <w:pPr>
              <w:pStyle w:val="TableContents"/>
              <w:bidi w:val="0"/>
              <w:spacing w:before="0" w:after="283"/>
              <w:jc w:val="left"/>
              <w:rPr/>
            </w:pPr>
            <w:r>
              <w:rPr/>
              <w:t> </w:t>
            </w:r>
          </w:p>
        </w:tc>
      </w:tr>
      <w:tr>
        <w:trPr/>
        <w:tc>
          <w:tcPr>
            <w:tcW w:w="6012" w:type="dxa"/>
            <w:tcBorders/>
          </w:tcPr>
          <w:p>
            <w:pPr>
              <w:pStyle w:val="TableContents"/>
              <w:bidi w:val="0"/>
              <w:spacing w:before="0" w:after="0"/>
              <w:jc w:val="left"/>
              <w:rPr>
                <w:rFonts w:ascii="Times New Roman" w:hAnsi="Times New Roman"/>
                <w:b/>
                <w:sz w:val="20"/>
              </w:rPr>
            </w:pPr>
            <w:r>
              <w:rPr>
                <w:rFonts w:ascii="Times New Roman" w:hAnsi="Times New Roman"/>
                <w:b/>
                <w:sz w:val="20"/>
              </w:rPr>
              <w:t>B-737 MAX 8</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45</w:t>
            </w:r>
          </w:p>
        </w:tc>
        <w:tc>
          <w:tcPr>
            <w:tcW w:w="65" w:type="dxa"/>
            <w:tcBorders/>
            <w:vAlign w:val="bottom"/>
          </w:tcPr>
          <w:p>
            <w:pPr>
              <w:pStyle w:val="TableContents"/>
              <w:bidi w:val="0"/>
              <w:spacing w:before="0" w:after="283"/>
              <w:jc w:val="left"/>
              <w:rPr/>
            </w:pPr>
            <w:r>
              <w:rPr/>
              <w:t> </w:t>
            </w:r>
          </w:p>
        </w:tc>
      </w:tr>
      <w:tr>
        <w:trPr/>
        <w:tc>
          <w:tcPr>
            <w:tcW w:w="60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B-737 MAX 9</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pPr>
            <w:r>
              <w:rPr/>
              <w:t>26</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pPr>
            <w:r>
              <w:rPr/>
              <w:t>30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right"/>
              <w:rPr/>
            </w:pPr>
            <w:r>
              <w:rPr/>
              <w:t>30</w:t>
            </w:r>
          </w:p>
        </w:tc>
        <w:tc>
          <w:tcPr>
            <w:tcW w:w="65" w:type="dxa"/>
            <w:tcBorders/>
            <w:shd w:fill="CCEEFF" w:val="clear"/>
            <w:vAlign w:val="bottom"/>
          </w:tcPr>
          <w:p>
            <w:pPr>
              <w:pStyle w:val="TableContents"/>
              <w:bidi w:val="0"/>
              <w:spacing w:before="0" w:after="283"/>
              <w:jc w:val="left"/>
              <w:rPr/>
            </w:pPr>
            <w:r>
              <w:rPr/>
              <w:t> </w:t>
            </w:r>
          </w:p>
        </w:tc>
      </w:tr>
      <w:tr>
        <w:trPr/>
        <w:tc>
          <w:tcPr>
            <w:tcW w:w="6012" w:type="dxa"/>
            <w:tcBorders/>
          </w:tcPr>
          <w:p>
            <w:pPr>
              <w:pStyle w:val="TableContents"/>
              <w:bidi w:val="0"/>
              <w:spacing w:before="0" w:after="0"/>
              <w:jc w:val="left"/>
              <w:rPr>
                <w:rFonts w:ascii="Times New Roman" w:hAnsi="Times New Roman"/>
                <w:b/>
                <w:sz w:val="20"/>
              </w:rPr>
            </w:pPr>
            <w:r>
              <w:rPr>
                <w:rFonts w:ascii="Times New Roman" w:hAnsi="Times New Roman"/>
                <w:b/>
                <w:sz w:val="20"/>
              </w:rPr>
              <w:t>B-787</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23</w:t>
            </w:r>
          </w:p>
        </w:tc>
        <w:tc>
          <w:tcPr>
            <w:tcW w:w="65" w:type="dxa"/>
            <w:tcBorders/>
            <w:vAlign w:val="bottom"/>
          </w:tcPr>
          <w:p>
            <w:pPr>
              <w:pStyle w:val="TableContents"/>
              <w:bidi w:val="0"/>
              <w:spacing w:before="0" w:after="283"/>
              <w:jc w:val="left"/>
              <w:rPr/>
            </w:pPr>
            <w:r>
              <w:rPr/>
              <w:t> </w:t>
            </w:r>
          </w:p>
        </w:tc>
      </w:tr>
      <w:tr>
        <w:trPr/>
        <w:tc>
          <w:tcPr>
            <w:tcW w:w="60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Aeroméxico</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b/>
              </w:rPr>
            </w:pPr>
            <w:r>
              <w:rPr>
                <w:b/>
              </w:rPr>
              <w:t>124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b/>
              </w:rPr>
            </w:pPr>
            <w:r>
              <w:rPr>
                <w:b/>
              </w:rPr>
              <w:t>128</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b/>
              </w:rPr>
            </w:pPr>
            <w:r>
              <w:rPr>
                <w:b/>
              </w:rPr>
              <w:t>131</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right"/>
              <w:rPr>
                <w:b/>
              </w:rPr>
            </w:pPr>
            <w:r>
              <w:rPr>
                <w:b/>
              </w:rPr>
              <w:t>132</w:t>
            </w:r>
          </w:p>
        </w:tc>
        <w:tc>
          <w:tcPr>
            <w:tcW w:w="65" w:type="dxa"/>
            <w:tcBorders/>
            <w:shd w:fill="CCEEFF" w:val="clear"/>
            <w:vAlign w:val="bottom"/>
          </w:tcPr>
          <w:p>
            <w:pPr>
              <w:pStyle w:val="TableContents"/>
              <w:bidi w:val="0"/>
              <w:spacing w:before="0" w:after="283"/>
              <w:jc w:val="left"/>
              <w:rPr/>
            </w:pPr>
            <w:r>
              <w:rPr/>
              <w:t> </w:t>
            </w:r>
          </w:p>
        </w:tc>
      </w:tr>
      <w:tr>
        <w:trPr/>
        <w:tc>
          <w:tcPr>
            <w:tcW w:w="6012" w:type="dxa"/>
            <w:tcBorders/>
          </w:tcPr>
          <w:p>
            <w:pPr>
              <w:pStyle w:val="TableContents"/>
              <w:bidi w:val="0"/>
              <w:spacing w:before="0" w:after="0"/>
              <w:jc w:val="left"/>
              <w:rPr>
                <w:rFonts w:ascii="Times New Roman" w:hAnsi="Times New Roman"/>
                <w:b/>
                <w:sz w:val="20"/>
              </w:rPr>
            </w:pPr>
            <w:r>
              <w:rPr>
                <w:rFonts w:ascii="Times New Roman" w:hAnsi="Times New Roman"/>
                <w:b/>
                <w:sz w:val="20"/>
              </w:rPr>
              <w:t>E-190</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c>
          <w:tcPr>
            <w:tcW w:w="60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Aeroméxico Connect</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b/>
              </w:rPr>
            </w:pPr>
            <w:r>
              <w:rPr>
                <w:b/>
              </w:rPr>
              <w:t>34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b/>
              </w:rPr>
            </w:pPr>
            <w:r>
              <w:rPr>
                <w:b/>
              </w:rPr>
              <w:t>34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b/>
              </w:rPr>
            </w:pPr>
            <w:r>
              <w:rPr>
                <w:b/>
              </w:rPr>
              <w:t>34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right"/>
              <w:rPr>
                <w:b/>
              </w:rPr>
            </w:pPr>
            <w:r>
              <w:rPr>
                <w:b/>
              </w:rPr>
              <w:t>34</w:t>
            </w:r>
          </w:p>
        </w:tc>
        <w:tc>
          <w:tcPr>
            <w:tcW w:w="65" w:type="dxa"/>
            <w:tcBorders/>
            <w:shd w:fill="CCEEFF" w:val="clear"/>
            <w:vAlign w:val="bottom"/>
          </w:tcPr>
          <w:p>
            <w:pPr>
              <w:pStyle w:val="TableContents"/>
              <w:bidi w:val="0"/>
              <w:spacing w:before="0" w:after="283"/>
              <w:jc w:val="left"/>
              <w:rPr/>
            </w:pPr>
            <w:r>
              <w:rPr/>
              <w:t> </w:t>
            </w:r>
          </w:p>
        </w:tc>
      </w:tr>
      <w:tr>
        <w:trPr/>
        <w:tc>
          <w:tcPr>
            <w:tcW w:w="6012" w:type="dxa"/>
            <w:tcBorders/>
          </w:tcPr>
          <w:p>
            <w:pPr>
              <w:pStyle w:val="TableContents"/>
              <w:bidi w:val="0"/>
              <w:spacing w:before="0" w:after="0"/>
              <w:jc w:val="left"/>
              <w:rPr>
                <w:rFonts w:ascii="Times New Roman" w:hAnsi="Times New Roman"/>
                <w:b/>
                <w:sz w:val="20"/>
              </w:rPr>
            </w:pPr>
            <w:r>
              <w:rPr>
                <w:rFonts w:ascii="Times New Roman" w:hAnsi="Times New Roman"/>
                <w:b/>
                <w:sz w:val="20"/>
              </w:rPr>
              <w:t>Grupo Aeroméxico</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b/>
              </w:rPr>
            </w:pPr>
            <w:r>
              <w:rPr>
                <w:b/>
              </w:rPr>
              <w:t>158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b/>
              </w:rPr>
            </w:pPr>
            <w:r>
              <w:rPr>
                <w:b/>
              </w:rPr>
              <w:t>162</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b/>
              </w:rPr>
            </w:pPr>
            <w:r>
              <w:rPr>
                <w:b/>
              </w:rPr>
              <w:t>165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b/>
              </w:rPr>
            </w:pPr>
            <w:r>
              <w:rPr>
                <w:b/>
              </w:rPr>
              <w:t>166</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4067175" cy="485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067175" cy="485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Footnotes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EBITDAR, Adjusted Net Debt to EBITDAR, and Adjusted EBITDAR Margin are non-IFRS measures and have limitations as analytical tools, and you should not consider them in isolation, or as a substitute for analysis of the Company’s results as reported under IFRS. See Annex A for the definition of Aeroméxico’s non-IFRS measures and a reconciliation to the nearest IFRS measure.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Liquidity is defined as cash and cash equivalents, and short-term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Premium revenue mix consists of revenue from premium products and services above </w:t>
            </w:r>
            <w:r>
              <w:rPr>
                <w:rFonts w:ascii="Times New Roman" w:hAnsi="Times New Roman"/>
                <w:i/>
                <w:sz w:val="20"/>
              </w:rPr>
              <w:t>Básica</w:t>
            </w:r>
            <w:r>
              <w:rPr>
                <w:rFonts w:ascii="Times New Roman" w:hAnsi="Times New Roman"/>
                <w:sz w:val="20"/>
              </w:rPr>
              <w:t xml:space="preserve"> / </w:t>
            </w:r>
            <w:r>
              <w:rPr>
                <w:rFonts w:ascii="Times New Roman" w:hAnsi="Times New Roman"/>
                <w:i/>
                <w:sz w:val="20"/>
              </w:rPr>
              <w:t>Clásica</w:t>
            </w:r>
            <w:r>
              <w:rPr>
                <w:rFonts w:ascii="Times New Roman" w:hAnsi="Times New Roman"/>
                <w:sz w:val="20"/>
              </w:rPr>
              <w:t xml:space="preserve"> coach cabin products. Ratio is calculated based on total passenger revenue.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1Q26 EARNINGS CALL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79"/>
        <w:gridCol w:w="120"/>
        <w:gridCol w:w="8106"/>
      </w:tblGrid>
      <w:tr>
        <w:trPr/>
        <w:tc>
          <w:tcPr>
            <w:tcW w:w="19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06" w:type="dxa"/>
            <w:tcBorders/>
            <w:vAlign w:val="center"/>
          </w:tcPr>
          <w:p>
            <w:pPr>
              <w:pStyle w:val="TableContents"/>
              <w:bidi w:val="0"/>
              <w:spacing w:before="0" w:after="283"/>
              <w:jc w:val="left"/>
              <w:rPr>
                <w:sz w:val="4"/>
                <w:szCs w:val="4"/>
              </w:rPr>
            </w:pPr>
            <w:r>
              <w:rPr>
                <w:sz w:val="4"/>
                <w:szCs w:val="4"/>
              </w:rPr>
            </w:r>
          </w:p>
        </w:tc>
      </w:tr>
      <w:tr>
        <w:trPr/>
        <w:tc>
          <w:tcPr>
            <w:tcW w:w="1979" w:type="dxa"/>
            <w:tcBorders/>
          </w:tcPr>
          <w:p>
            <w:pPr>
              <w:pStyle w:val="TableContents"/>
              <w:bidi w:val="0"/>
              <w:spacing w:before="0" w:after="283"/>
              <w:jc w:val="left"/>
              <w:rPr>
                <w:b/>
              </w:rPr>
            </w:pPr>
            <w:r>
              <w:rPr>
                <w:b/>
              </w:rPr>
              <w:t>Date</w:t>
            </w:r>
          </w:p>
        </w:tc>
        <w:tc>
          <w:tcPr>
            <w:tcW w:w="120" w:type="dxa"/>
            <w:tcBorders/>
            <w:vAlign w:val="bottom"/>
          </w:tcPr>
          <w:p>
            <w:pPr>
              <w:pStyle w:val="TableContents"/>
              <w:bidi w:val="0"/>
              <w:spacing w:before="0" w:after="283"/>
              <w:jc w:val="left"/>
              <w:rPr/>
            </w:pPr>
            <w:r>
              <w:rPr/>
              <w:t>  </w:t>
            </w:r>
          </w:p>
        </w:tc>
        <w:tc>
          <w:tcPr>
            <w:tcW w:w="8106" w:type="dxa"/>
            <w:tcBorders/>
          </w:tcPr>
          <w:p>
            <w:pPr>
              <w:pStyle w:val="TableContents"/>
              <w:bidi w:val="0"/>
              <w:spacing w:before="0" w:after="283"/>
              <w:jc w:val="left"/>
              <w:rPr/>
            </w:pPr>
            <w:r>
              <w:rPr/>
              <w:t>Wednesday, April 22, 2026</w:t>
            </w:r>
          </w:p>
        </w:tc>
      </w:tr>
      <w:tr>
        <w:trPr>
          <w:trHeight w:val="120" w:hRule="atLeast"/>
        </w:trPr>
        <w:tc>
          <w:tcPr>
            <w:tcW w:w="1979" w:type="dxa"/>
            <w:tcBorders/>
            <w:vAlign w:val="center"/>
          </w:tcPr>
          <w:p>
            <w:pPr>
              <w:pStyle w:val="TableContents"/>
              <w:bidi w:val="0"/>
              <w:spacing w:before="0" w:after="283"/>
              <w:jc w:val="left"/>
              <w:rPr>
                <w:sz w:val="4"/>
                <w:szCs w:val="4"/>
              </w:rPr>
            </w:pPr>
            <w:r>
              <w:rPr>
                <w:sz w:val="4"/>
                <w:szCs w:val="4"/>
              </w:rPr>
            </w:r>
          </w:p>
        </w:tc>
        <w:tc>
          <w:tcPr>
            <w:tcW w:w="8226" w:type="dxa"/>
            <w:gridSpan w:val="2"/>
            <w:tcBorders/>
            <w:vAlign w:val="center"/>
          </w:tcPr>
          <w:p>
            <w:pPr>
              <w:pStyle w:val="TableContents"/>
              <w:bidi w:val="0"/>
              <w:spacing w:before="0" w:after="283"/>
              <w:jc w:val="left"/>
              <w:rPr>
                <w:sz w:val="4"/>
                <w:szCs w:val="4"/>
              </w:rPr>
            </w:pPr>
            <w:r>
              <w:rPr>
                <w:sz w:val="4"/>
                <w:szCs w:val="4"/>
              </w:rPr>
            </w:r>
          </w:p>
        </w:tc>
      </w:tr>
      <w:tr>
        <w:trPr/>
        <w:tc>
          <w:tcPr>
            <w:tcW w:w="1979" w:type="dxa"/>
            <w:tcBorders/>
          </w:tcPr>
          <w:p>
            <w:pPr>
              <w:pStyle w:val="TableContents"/>
              <w:bidi w:val="0"/>
              <w:spacing w:before="0" w:after="283"/>
              <w:jc w:val="left"/>
              <w:rPr>
                <w:b/>
              </w:rPr>
            </w:pPr>
            <w:r>
              <w:rPr>
                <w:b/>
              </w:rPr>
              <w:t>Time</w:t>
            </w:r>
          </w:p>
        </w:tc>
        <w:tc>
          <w:tcPr>
            <w:tcW w:w="120" w:type="dxa"/>
            <w:tcBorders/>
            <w:vAlign w:val="bottom"/>
          </w:tcPr>
          <w:p>
            <w:pPr>
              <w:pStyle w:val="TableContents"/>
              <w:bidi w:val="0"/>
              <w:spacing w:before="0" w:after="283"/>
              <w:jc w:val="left"/>
              <w:rPr/>
            </w:pPr>
            <w:r>
              <w:rPr/>
              <w:t>  </w:t>
            </w:r>
          </w:p>
        </w:tc>
        <w:tc>
          <w:tcPr>
            <w:tcW w:w="8106" w:type="dxa"/>
            <w:tcBorders/>
          </w:tcPr>
          <w:p>
            <w:pPr>
              <w:pStyle w:val="TableContents"/>
              <w:bidi w:val="0"/>
              <w:spacing w:before="0" w:after="283"/>
              <w:jc w:val="left"/>
              <w:rPr/>
            </w:pPr>
            <w:r>
              <w:rPr/>
              <w:t>12:30 p.m. ET (NY) / 10:30 a.m. CT (CDMX)</w:t>
            </w:r>
          </w:p>
        </w:tc>
      </w:tr>
      <w:tr>
        <w:trPr>
          <w:trHeight w:val="120" w:hRule="atLeast"/>
        </w:trPr>
        <w:tc>
          <w:tcPr>
            <w:tcW w:w="1979" w:type="dxa"/>
            <w:tcBorders/>
            <w:vAlign w:val="center"/>
          </w:tcPr>
          <w:p>
            <w:pPr>
              <w:pStyle w:val="TableContents"/>
              <w:bidi w:val="0"/>
              <w:spacing w:before="0" w:after="283"/>
              <w:jc w:val="left"/>
              <w:rPr>
                <w:sz w:val="4"/>
                <w:szCs w:val="4"/>
              </w:rPr>
            </w:pPr>
            <w:r>
              <w:rPr>
                <w:sz w:val="4"/>
                <w:szCs w:val="4"/>
              </w:rPr>
            </w:r>
          </w:p>
        </w:tc>
        <w:tc>
          <w:tcPr>
            <w:tcW w:w="8226" w:type="dxa"/>
            <w:gridSpan w:val="2"/>
            <w:tcBorders/>
            <w:vAlign w:val="center"/>
          </w:tcPr>
          <w:p>
            <w:pPr>
              <w:pStyle w:val="TableContents"/>
              <w:bidi w:val="0"/>
              <w:spacing w:before="0" w:after="283"/>
              <w:jc w:val="left"/>
              <w:rPr>
                <w:sz w:val="4"/>
                <w:szCs w:val="4"/>
              </w:rPr>
            </w:pPr>
            <w:r>
              <w:rPr>
                <w:sz w:val="4"/>
                <w:szCs w:val="4"/>
              </w:rPr>
            </w:r>
          </w:p>
        </w:tc>
      </w:tr>
      <w:tr>
        <w:trPr/>
        <w:tc>
          <w:tcPr>
            <w:tcW w:w="1979" w:type="dxa"/>
            <w:tcBorders/>
          </w:tcPr>
          <w:p>
            <w:pPr>
              <w:pStyle w:val="TableContents"/>
              <w:bidi w:val="0"/>
              <w:spacing w:before="0" w:after="283"/>
              <w:jc w:val="left"/>
              <w:rPr>
                <w:b/>
              </w:rPr>
            </w:pPr>
            <w:r>
              <w:rPr>
                <w:b/>
              </w:rPr>
              <w:t>Webcast Link</w:t>
            </w:r>
          </w:p>
        </w:tc>
        <w:tc>
          <w:tcPr>
            <w:tcW w:w="120" w:type="dxa"/>
            <w:tcBorders/>
            <w:vAlign w:val="bottom"/>
          </w:tcPr>
          <w:p>
            <w:pPr>
              <w:pStyle w:val="TableContents"/>
              <w:bidi w:val="0"/>
              <w:spacing w:before="0" w:after="283"/>
              <w:jc w:val="left"/>
              <w:rPr/>
            </w:pPr>
            <w:r>
              <w:rPr/>
              <w:t>  </w:t>
            </w:r>
          </w:p>
        </w:tc>
        <w:tc>
          <w:tcPr>
            <w:tcW w:w="8106" w:type="dxa"/>
            <w:tcBorders/>
          </w:tcPr>
          <w:p>
            <w:pPr>
              <w:pStyle w:val="TableContents"/>
              <w:bidi w:val="0"/>
              <w:spacing w:before="0" w:after="283"/>
              <w:jc w:val="left"/>
              <w:rPr>
                <w:u w:val="single"/>
              </w:rPr>
            </w:pPr>
            <w:r>
              <w:rPr>
                <w:u w:val="single"/>
              </w:rPr>
              <w:t>https://edge.media-server.com/mmc/p/ta78xgyw</w:t>
            </w:r>
          </w:p>
        </w:tc>
      </w:tr>
      <w:tr>
        <w:trPr>
          <w:trHeight w:val="120" w:hRule="atLeast"/>
        </w:trPr>
        <w:tc>
          <w:tcPr>
            <w:tcW w:w="1979" w:type="dxa"/>
            <w:tcBorders/>
            <w:vAlign w:val="center"/>
          </w:tcPr>
          <w:p>
            <w:pPr>
              <w:pStyle w:val="TableContents"/>
              <w:bidi w:val="0"/>
              <w:spacing w:before="0" w:after="283"/>
              <w:jc w:val="left"/>
              <w:rPr>
                <w:sz w:val="4"/>
                <w:szCs w:val="4"/>
              </w:rPr>
            </w:pPr>
            <w:r>
              <w:rPr>
                <w:sz w:val="4"/>
                <w:szCs w:val="4"/>
              </w:rPr>
            </w:r>
          </w:p>
        </w:tc>
        <w:tc>
          <w:tcPr>
            <w:tcW w:w="8226" w:type="dxa"/>
            <w:gridSpan w:val="2"/>
            <w:tcBorders/>
            <w:vAlign w:val="center"/>
          </w:tcPr>
          <w:p>
            <w:pPr>
              <w:pStyle w:val="TableContents"/>
              <w:bidi w:val="0"/>
              <w:spacing w:before="0" w:after="283"/>
              <w:jc w:val="left"/>
              <w:rPr>
                <w:sz w:val="4"/>
                <w:szCs w:val="4"/>
              </w:rPr>
            </w:pPr>
            <w:r>
              <w:rPr>
                <w:sz w:val="4"/>
                <w:szCs w:val="4"/>
              </w:rPr>
            </w:r>
          </w:p>
        </w:tc>
      </w:tr>
      <w:tr>
        <w:trPr/>
        <w:tc>
          <w:tcPr>
            <w:tcW w:w="1979" w:type="dxa"/>
            <w:tcBorders/>
          </w:tcPr>
          <w:p>
            <w:pPr>
              <w:pStyle w:val="TableContents"/>
              <w:bidi w:val="0"/>
              <w:spacing w:before="0" w:after="283"/>
              <w:jc w:val="left"/>
              <w:rPr>
                <w:b/>
              </w:rPr>
            </w:pPr>
            <w:r>
              <w:rPr>
                <w:b/>
              </w:rPr>
              <w:t>Participant Listening*</w:t>
            </w:r>
          </w:p>
        </w:tc>
        <w:tc>
          <w:tcPr>
            <w:tcW w:w="120" w:type="dxa"/>
            <w:tcBorders/>
            <w:vAlign w:val="bottom"/>
          </w:tcPr>
          <w:p>
            <w:pPr>
              <w:pStyle w:val="TableContents"/>
              <w:bidi w:val="0"/>
              <w:spacing w:before="0" w:after="283"/>
              <w:jc w:val="left"/>
              <w:rPr/>
            </w:pPr>
            <w:r>
              <w:rPr/>
              <w:t>  </w:t>
            </w:r>
          </w:p>
        </w:tc>
        <w:tc>
          <w:tcPr>
            <w:tcW w:w="8106" w:type="dxa"/>
            <w:tcBorders/>
          </w:tcPr>
          <w:p>
            <w:pPr>
              <w:pStyle w:val="TableContents"/>
              <w:bidi w:val="0"/>
              <w:spacing w:before="0" w:after="283"/>
              <w:jc w:val="left"/>
              <w:rPr>
                <w:u w:val="single"/>
              </w:rPr>
            </w:pPr>
            <w:r>
              <w:rPr>
                <w:u w:val="single"/>
              </w:rPr>
              <w:t>https://register-conf.media-server.com/register/BIe78975e545c8496bb1037d726d2c3cb3</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w:t>
            </w:r>
          </w:p>
        </w:tc>
        <w:tc>
          <w:tcPr>
            <w:tcW w:w="9797"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Participants can complete the online registration form and upon registering will receive the dial-in info and a unique PIN to join the call.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4067175" cy="485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067175" cy="485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About Grupo Aeroméxico </w:t>
      </w:r>
    </w:p>
    <w:p>
      <w:pPr>
        <w:pStyle w:val="TextBody"/>
        <w:bidi w:val="0"/>
        <w:spacing w:before="120" w:after="0"/>
        <w:jc w:val="left"/>
        <w:rPr>
          <w:rFonts w:ascii="Times New Roman" w:hAnsi="Times New Roman"/>
          <w:i/>
          <w:sz w:val="20"/>
        </w:rPr>
      </w:pPr>
      <w:r>
        <w:rPr>
          <w:rFonts w:ascii="Times New Roman" w:hAnsi="Times New Roman"/>
          <w:i/>
          <w:sz w:val="20"/>
        </w:rPr>
        <w:t xml:space="preserve">Grupo Aeroméxico, S.A.B. de C.V. is a holding company whose subsidiaries are engaged in commercial aviation in Mexico and the promotion of passenger loyalty programs. Aeroméxico, Mexico’s global airline, has its main operations center in Terminal 2 of the Mexico City International Airport. Its destination network has reach in Mexico, the United States, Canada, Central America, South America, Asia and Europe. The Group’s current operating fleet includes Boeing 787 and 737 aircraft, as well as the latest generation Embraer 190. Aeroméxico is a founding partner of SkyTeam, an alliance that celebrates 20 years and offers connectivity in more than 170 countries, through the 19 partner airlines. Aeroméxico created and implemented a Health and Hygiene Management System (SGSH) to protect its clients and collaborators at all stages of its operation. </w:t>
      </w:r>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www.aeromexico.com </w:t>
      </w:r>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www.skyteam.com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 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press release contains certain forward-looking statements, within the meaning of the Private Securities Litigation Reform Act, that reflect the current views and/or expectations of the Company and its management with respect to its performance, business and future events. We use words such as “believe,” “anticipate,” “plan,” “expect,”, “intend,” “target,” “estimate,” “project,” “predict,” “guidance,” “forecast,” “guideline,” “should” and other similar expressions to identify forward-looking statements, but they are not the only way we identify such statements. Such statements are subject to a number of risks, uncertainties and assumptions. We caution you that a number of important factors could cause actual results to differ materially from the plans, objectives, expectations, estimates and intentions expressed in this release. Important factors that could cause such differences include, but are not limited to: external risks, including health threats, accidents, global instability, security breaches, terrorism and natural disasters; global geopolitical conflicts, particularly those that impact the price of jet fuel; Mexican and international economic conditions, as well as seasonality, on customer travel behavior; the current U.S.’s administration tariffs on the Company’s costs and the actions of other governmental authorities in Mexico, the U.S. and other countries; fuel market volatility; the Company’s capacity to fulfill the Company’s fixed obligations, obtain financing and/or maintain liquidity; the Company’s capacity to retain and attract key personnel and other professionals, and the Company’s labor relations with employees; the Company’s reliance on few aircraft manufacturers and other third-party providers; the Company’s aircraft utilization rate and aircraft maintenance costs; changes in landing charges, airport access fees and inadequate airport infrastructure; consumer protection restrictions; dependence on the Company’s main hub, MEX; air traffic congestion; the competitive environment in the aviation industry, including those arising from non-air travel substitutes; sanctions and compliance with anti-corruption, anti-money laundering, anti-drug trafficking and other ethical rules and standards; reliance on partnerships and alliances and challenges in entering into new ones; and other factors described in “Risk Factors” of the Company’s final prospectus dated as of November 5, 2025 relating to its initial public offering and other documents filed with or furnished to the SEC from time to time. Forward-looking statements are based on information available at the time those statements are made and/or management’s good faith belief as of that time with respect to future events. The Company is under no obligation and expressly disclaims any intention or obligation to update or revise any forward-looking statements, whether as a result of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4067175" cy="4857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067175" cy="485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Grupo Aeroméxico, S.A.B. de C.V.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Profit or Loss and other Comprehensive Income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73"/>
        <w:gridCol w:w="166"/>
        <w:gridCol w:w="60"/>
        <w:gridCol w:w="584"/>
        <w:gridCol w:w="60"/>
        <w:gridCol w:w="166"/>
        <w:gridCol w:w="60"/>
        <w:gridCol w:w="584"/>
        <w:gridCol w:w="155"/>
        <w:gridCol w:w="119"/>
        <w:gridCol w:w="81"/>
        <w:gridCol w:w="769"/>
        <w:gridCol w:w="328"/>
      </w:tblGrid>
      <w:tr>
        <w:trPr/>
        <w:tc>
          <w:tcPr>
            <w:tcW w:w="7073"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707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638" w:type="dxa"/>
            <w:gridSpan w:val="10"/>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Three Months</w:t>
            </w:r>
          </w:p>
          <w:p>
            <w:pPr>
              <w:pStyle w:val="TableContents"/>
              <w:bidi w:val="0"/>
              <w:spacing w:before="0" w:after="0"/>
              <w:jc w:val="center"/>
              <w:rPr>
                <w:rFonts w:ascii="Times New Roman" w:hAnsi="Times New Roman"/>
                <w:b/>
                <w:sz w:val="16"/>
              </w:rPr>
            </w:pPr>
            <w:r>
              <w:rPr>
                <w:rFonts w:ascii="Times New Roman" w:hAnsi="Times New Roman"/>
                <w:b/>
                <w:sz w:val="16"/>
              </w:rPr>
              <w:t>Ended March 31</w:t>
            </w:r>
          </w:p>
          <w:p>
            <w:pPr>
              <w:pStyle w:val="TableContents"/>
              <w:bidi w:val="0"/>
              <w:spacing w:before="0" w:after="20"/>
              <w:jc w:val="center"/>
              <w:rPr>
                <w:rFonts w:ascii="Times New Roman" w:hAnsi="Times New Roman"/>
                <w:b/>
                <w:sz w:val="16"/>
              </w:rPr>
            </w:pPr>
            <w:r>
              <w:rPr>
                <w:rFonts w:ascii="Times New Roman" w:hAnsi="Times New Roman"/>
                <w:b/>
                <w:sz w:val="16"/>
              </w:rPr>
              <w:t>(USD millions)</w:t>
            </w:r>
          </w:p>
        </w:tc>
        <w:tc>
          <w:tcPr>
            <w:tcW w:w="328" w:type="dxa"/>
            <w:tcBorders/>
            <w:vAlign w:val="bottom"/>
          </w:tcPr>
          <w:p>
            <w:pPr>
              <w:pStyle w:val="TableContents"/>
              <w:bidi w:val="0"/>
              <w:spacing w:before="0" w:after="283"/>
              <w:jc w:val="left"/>
              <w:rPr/>
            </w:pPr>
            <w:r>
              <w:rPr/>
              <w:t> </w:t>
            </w:r>
          </w:p>
        </w:tc>
      </w:tr>
      <w:tr>
        <w:trPr/>
        <w:tc>
          <w:tcPr>
            <w:tcW w:w="707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328" w:type="dxa"/>
            <w:tcBorders/>
            <w:vAlign w:val="bottom"/>
          </w:tcPr>
          <w:p>
            <w:pPr>
              <w:pStyle w:val="TableContents"/>
              <w:bidi w:val="0"/>
              <w:spacing w:before="0" w:after="283"/>
              <w:jc w:val="left"/>
              <w:rPr/>
            </w:pPr>
            <w:r>
              <w:rPr/>
              <w:t> </w:t>
            </w:r>
          </w:p>
        </w:tc>
      </w:tr>
      <w:tr>
        <w:trPr/>
        <w:tc>
          <w:tcPr>
            <w:tcW w:w="70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769"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r>
      <w:tr>
        <w:trPr/>
        <w:tc>
          <w:tcPr>
            <w:tcW w:w="7073" w:type="dxa"/>
            <w:tcBorders/>
          </w:tcPr>
          <w:p>
            <w:pPr>
              <w:pStyle w:val="TableContents"/>
              <w:bidi w:val="0"/>
              <w:spacing w:before="0" w:after="0"/>
              <w:jc w:val="left"/>
              <w:rPr>
                <w:rFonts w:ascii="Times New Roman" w:hAnsi="Times New Roman"/>
                <w:sz w:val="20"/>
              </w:rPr>
            </w:pPr>
            <w:r>
              <w:rPr>
                <w:rFonts w:ascii="Times New Roman" w:hAnsi="Times New Roman"/>
                <w:sz w:val="20"/>
              </w:rPr>
              <w:t>Passenger</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1,212</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1,072</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13.1</w:t>
            </w:r>
          </w:p>
        </w:tc>
        <w:tc>
          <w:tcPr>
            <w:tcW w:w="328" w:type="dxa"/>
            <w:tcBorders/>
            <w:vAlign w:val="bottom"/>
          </w:tcPr>
          <w:p>
            <w:pPr>
              <w:pStyle w:val="TableContents"/>
              <w:bidi w:val="0"/>
              <w:spacing w:before="0" w:after="283"/>
              <w:jc w:val="left"/>
              <w:rPr/>
            </w:pPr>
            <w:r>
              <w:rPr/>
              <w:t>% </w:t>
            </w:r>
          </w:p>
        </w:tc>
      </w:tr>
      <w:tr>
        <w:trPr/>
        <w:tc>
          <w:tcPr>
            <w:tcW w:w="7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Air cargo</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76</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71</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7.9</w:t>
            </w:r>
          </w:p>
        </w:tc>
        <w:tc>
          <w:tcPr>
            <w:tcW w:w="328" w:type="dxa"/>
            <w:tcBorders/>
            <w:shd w:fill="CCEEFF" w:val="clear"/>
            <w:vAlign w:val="bottom"/>
          </w:tcPr>
          <w:p>
            <w:pPr>
              <w:pStyle w:val="TableContents"/>
              <w:bidi w:val="0"/>
              <w:spacing w:before="0" w:after="283"/>
              <w:jc w:val="left"/>
              <w:rPr/>
            </w:pPr>
            <w:r>
              <w:rPr/>
              <w:t>% </w:t>
            </w:r>
          </w:p>
        </w:tc>
      </w:tr>
      <w:tr>
        <w:trPr/>
        <w:tc>
          <w:tcPr>
            <w:tcW w:w="7073"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41</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29.0</w:t>
            </w:r>
          </w:p>
        </w:tc>
        <w:tc>
          <w:tcPr>
            <w:tcW w:w="328" w:type="dxa"/>
            <w:tcBorders/>
            <w:vAlign w:val="bottom"/>
          </w:tcPr>
          <w:p>
            <w:pPr>
              <w:pStyle w:val="TableContents"/>
              <w:bidi w:val="0"/>
              <w:spacing w:before="0" w:after="283"/>
              <w:jc w:val="left"/>
              <w:rPr/>
            </w:pPr>
            <w:r>
              <w:rPr/>
              <w:t>% </w:t>
            </w:r>
          </w:p>
        </w:tc>
      </w:tr>
      <w:tr>
        <w:trPr/>
        <w:tc>
          <w:tcPr>
            <w:tcW w:w="70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b/>
              </w:rPr>
            </w:pPr>
            <w:r>
              <w:rPr>
                <w:b/>
              </w:rPr>
              <w:t>1,341</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b/>
              </w:rPr>
            </w:pPr>
            <w:r>
              <w:rPr>
                <w:b/>
              </w:rPr>
              <w:t>1,184</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b/>
              </w:rPr>
            </w:pPr>
            <w:r>
              <w:rPr>
                <w:b/>
              </w:rPr>
              <w:t>13.3</w:t>
            </w:r>
          </w:p>
        </w:tc>
        <w:tc>
          <w:tcPr>
            <w:tcW w:w="328" w:type="dxa"/>
            <w:tcBorders/>
            <w:shd w:fill="CCEEFF" w:val="clear"/>
            <w:vAlign w:val="bottom"/>
          </w:tcPr>
          <w:p>
            <w:pPr>
              <w:pStyle w:val="TableContents"/>
              <w:bidi w:val="0"/>
              <w:spacing w:before="0" w:after="283"/>
              <w:jc w:val="left"/>
              <w:rPr>
                <w:b/>
              </w:rPr>
            </w:pPr>
            <w:r>
              <w:rPr>
                <w:b/>
              </w:rPr>
              <w:t>% </w:t>
            </w:r>
          </w:p>
        </w:tc>
      </w:tr>
      <w:tr>
        <w:trPr/>
        <w:tc>
          <w:tcPr>
            <w:tcW w:w="7073"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769"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r>
      <w:tr>
        <w:trPr/>
        <w:tc>
          <w:tcPr>
            <w:tcW w:w="7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Jet-fuel</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315</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286</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10.2</w:t>
            </w:r>
          </w:p>
        </w:tc>
        <w:tc>
          <w:tcPr>
            <w:tcW w:w="328" w:type="dxa"/>
            <w:tcBorders/>
            <w:shd w:fill="CCEEFF" w:val="clear"/>
            <w:vAlign w:val="bottom"/>
          </w:tcPr>
          <w:p>
            <w:pPr>
              <w:pStyle w:val="TableContents"/>
              <w:bidi w:val="0"/>
              <w:spacing w:before="0" w:after="283"/>
              <w:jc w:val="left"/>
              <w:rPr/>
            </w:pPr>
            <w:r>
              <w:rPr/>
              <w:t>% </w:t>
            </w:r>
          </w:p>
        </w:tc>
      </w:tr>
      <w:tr>
        <w:trPr/>
        <w:tc>
          <w:tcPr>
            <w:tcW w:w="7073" w:type="dxa"/>
            <w:tcBorders/>
          </w:tcPr>
          <w:p>
            <w:pPr>
              <w:pStyle w:val="TableContents"/>
              <w:bidi w:val="0"/>
              <w:spacing w:before="0" w:after="0"/>
              <w:jc w:val="left"/>
              <w:rPr>
                <w:rFonts w:ascii="Times New Roman" w:hAnsi="Times New Roman"/>
                <w:sz w:val="20"/>
              </w:rPr>
            </w:pPr>
            <w:r>
              <w:rPr>
                <w:rFonts w:ascii="Times New Roman" w:hAnsi="Times New Roman"/>
                <w:sz w:val="20"/>
              </w:rPr>
              <w:t>Wages, salaries and benefits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308</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252</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22.4</w:t>
            </w:r>
          </w:p>
        </w:tc>
        <w:tc>
          <w:tcPr>
            <w:tcW w:w="328" w:type="dxa"/>
            <w:tcBorders/>
            <w:vAlign w:val="bottom"/>
          </w:tcPr>
          <w:p>
            <w:pPr>
              <w:pStyle w:val="TableContents"/>
              <w:bidi w:val="0"/>
              <w:spacing w:before="0" w:after="283"/>
              <w:jc w:val="left"/>
              <w:rPr/>
            </w:pPr>
            <w:r>
              <w:rPr/>
              <w:t>% </w:t>
            </w:r>
          </w:p>
        </w:tc>
      </w:tr>
      <w:tr>
        <w:trPr/>
        <w:tc>
          <w:tcPr>
            <w:tcW w:w="7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Maintenance</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68</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28.6</w:t>
            </w:r>
          </w:p>
        </w:tc>
        <w:tc>
          <w:tcPr>
            <w:tcW w:w="328" w:type="dxa"/>
            <w:tcBorders/>
            <w:shd w:fill="CCEEFF" w:val="clear"/>
            <w:vAlign w:val="bottom"/>
          </w:tcPr>
          <w:p>
            <w:pPr>
              <w:pStyle w:val="TableContents"/>
              <w:bidi w:val="0"/>
              <w:spacing w:before="0" w:after="283"/>
              <w:jc w:val="left"/>
              <w:rPr/>
            </w:pPr>
            <w:r>
              <w:rPr/>
              <w:t>% </w:t>
            </w:r>
          </w:p>
        </w:tc>
      </w:tr>
      <w:tr>
        <w:trPr/>
        <w:tc>
          <w:tcPr>
            <w:tcW w:w="7073" w:type="dxa"/>
            <w:tcBorders/>
          </w:tcPr>
          <w:p>
            <w:pPr>
              <w:pStyle w:val="TableContents"/>
              <w:bidi w:val="0"/>
              <w:spacing w:before="0" w:after="0"/>
              <w:jc w:val="left"/>
              <w:rPr>
                <w:rFonts w:ascii="Times New Roman" w:hAnsi="Times New Roman"/>
                <w:sz w:val="20"/>
              </w:rPr>
            </w:pPr>
            <w:r>
              <w:rPr>
                <w:rFonts w:ascii="Times New Roman" w:hAnsi="Times New Roman"/>
                <w:sz w:val="20"/>
              </w:rPr>
              <w:t>Aircraft, communications and traffic services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154</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136</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13.7</w:t>
            </w:r>
          </w:p>
        </w:tc>
        <w:tc>
          <w:tcPr>
            <w:tcW w:w="328" w:type="dxa"/>
            <w:tcBorders/>
            <w:vAlign w:val="bottom"/>
          </w:tcPr>
          <w:p>
            <w:pPr>
              <w:pStyle w:val="TableContents"/>
              <w:bidi w:val="0"/>
              <w:spacing w:before="0" w:after="283"/>
              <w:jc w:val="left"/>
              <w:rPr/>
            </w:pPr>
            <w:r>
              <w:rPr/>
              <w:t>% </w:t>
            </w:r>
          </w:p>
        </w:tc>
      </w:tr>
      <w:tr>
        <w:trPr/>
        <w:tc>
          <w:tcPr>
            <w:tcW w:w="7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Passenger services</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39</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20.6</w:t>
            </w:r>
          </w:p>
        </w:tc>
        <w:tc>
          <w:tcPr>
            <w:tcW w:w="328" w:type="dxa"/>
            <w:tcBorders/>
            <w:shd w:fill="CCEEFF" w:val="clear"/>
            <w:vAlign w:val="bottom"/>
          </w:tcPr>
          <w:p>
            <w:pPr>
              <w:pStyle w:val="TableContents"/>
              <w:bidi w:val="0"/>
              <w:spacing w:before="0" w:after="283"/>
              <w:jc w:val="left"/>
              <w:rPr/>
            </w:pPr>
            <w:r>
              <w:rPr/>
              <w:t>% </w:t>
            </w:r>
          </w:p>
        </w:tc>
      </w:tr>
      <w:tr>
        <w:trPr/>
        <w:tc>
          <w:tcPr>
            <w:tcW w:w="7073" w:type="dxa"/>
            <w:tcBorders/>
          </w:tcPr>
          <w:p>
            <w:pPr>
              <w:pStyle w:val="TableContents"/>
              <w:bidi w:val="0"/>
              <w:spacing w:before="0" w:after="0"/>
              <w:jc w:val="left"/>
              <w:rPr>
                <w:rFonts w:ascii="Times New Roman" w:hAnsi="Times New Roman"/>
                <w:sz w:val="20"/>
              </w:rPr>
            </w:pPr>
            <w:r>
              <w:rPr>
                <w:rFonts w:ascii="Times New Roman" w:hAnsi="Times New Roman"/>
                <w:sz w:val="20"/>
              </w:rPr>
              <w:t>Travel agent commissions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8.5</w:t>
            </w:r>
          </w:p>
        </w:tc>
        <w:tc>
          <w:tcPr>
            <w:tcW w:w="328" w:type="dxa"/>
            <w:tcBorders/>
            <w:vAlign w:val="bottom"/>
          </w:tcPr>
          <w:p>
            <w:pPr>
              <w:pStyle w:val="TableContents"/>
              <w:bidi w:val="0"/>
              <w:spacing w:before="0" w:after="283"/>
              <w:jc w:val="left"/>
              <w:rPr/>
            </w:pPr>
            <w:r>
              <w:rPr/>
              <w:t>% </w:t>
            </w:r>
          </w:p>
        </w:tc>
      </w:tr>
      <w:tr>
        <w:trPr/>
        <w:tc>
          <w:tcPr>
            <w:tcW w:w="7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and administrative</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88</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80</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10.7</w:t>
            </w:r>
          </w:p>
        </w:tc>
        <w:tc>
          <w:tcPr>
            <w:tcW w:w="328" w:type="dxa"/>
            <w:tcBorders/>
            <w:shd w:fill="CCEEFF" w:val="clear"/>
            <w:vAlign w:val="bottom"/>
          </w:tcPr>
          <w:p>
            <w:pPr>
              <w:pStyle w:val="TableContents"/>
              <w:bidi w:val="0"/>
              <w:spacing w:before="0" w:after="283"/>
              <w:jc w:val="left"/>
              <w:rPr/>
            </w:pPr>
            <w:r>
              <w:rPr/>
              <w:t>% </w:t>
            </w:r>
          </w:p>
        </w:tc>
      </w:tr>
      <w:tr>
        <w:trPr/>
        <w:tc>
          <w:tcPr>
            <w:tcW w:w="7073" w:type="dxa"/>
            <w:tcBorders/>
          </w:tcPr>
          <w:p>
            <w:pPr>
              <w:pStyle w:val="TableContents"/>
              <w:bidi w:val="0"/>
              <w:spacing w:before="0" w:after="0"/>
              <w:jc w:val="left"/>
              <w:rPr>
                <w:rFonts w:ascii="Times New Roman" w:hAnsi="Times New Roman"/>
                <w:sz w:val="20"/>
              </w:rPr>
            </w:pPr>
            <w:r>
              <w:rPr>
                <w:rFonts w:ascii="Times New Roman" w:hAnsi="Times New Roman"/>
                <w:sz w:val="20"/>
              </w:rPr>
              <w:t>Aircraft leasing</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-11.6</w:t>
            </w:r>
          </w:p>
        </w:tc>
        <w:tc>
          <w:tcPr>
            <w:tcW w:w="328" w:type="dxa"/>
            <w:tcBorders/>
            <w:vAlign w:val="bottom"/>
          </w:tcPr>
          <w:p>
            <w:pPr>
              <w:pStyle w:val="TableContents"/>
              <w:bidi w:val="0"/>
              <w:spacing w:before="0" w:after="283"/>
              <w:jc w:val="left"/>
              <w:rPr/>
            </w:pPr>
            <w:r>
              <w:rPr/>
              <w:t>% </w:t>
            </w:r>
          </w:p>
        </w:tc>
      </w:tr>
      <w:tr>
        <w:trPr/>
        <w:tc>
          <w:tcPr>
            <w:tcW w:w="7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190</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173</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9.7</w:t>
            </w:r>
          </w:p>
        </w:tc>
        <w:tc>
          <w:tcPr>
            <w:tcW w:w="328" w:type="dxa"/>
            <w:tcBorders/>
            <w:shd w:fill="CCEEFF" w:val="clear"/>
            <w:vAlign w:val="bottom"/>
          </w:tcPr>
          <w:p>
            <w:pPr>
              <w:pStyle w:val="TableContents"/>
              <w:bidi w:val="0"/>
              <w:spacing w:before="0" w:after="283"/>
              <w:jc w:val="left"/>
              <w:rPr/>
            </w:pPr>
            <w:r>
              <w:rPr/>
              <w:t>% </w:t>
            </w:r>
          </w:p>
        </w:tc>
      </w:tr>
      <w:tr>
        <w:trPr/>
        <w:tc>
          <w:tcPr>
            <w:tcW w:w="7073" w:type="dxa"/>
            <w:tcBorders/>
          </w:tcPr>
          <w:p>
            <w:pPr>
              <w:pStyle w:val="TableContents"/>
              <w:bidi w:val="0"/>
              <w:spacing w:before="0" w:after="0"/>
              <w:jc w:val="left"/>
              <w:rPr>
                <w:rFonts w:ascii="Times New Roman" w:hAnsi="Times New Roman"/>
                <w:sz w:val="20"/>
              </w:rPr>
            </w:pPr>
            <w:r>
              <w:rPr>
                <w:rFonts w:ascii="Times New Roman" w:hAnsi="Times New Roman"/>
                <w:sz w:val="20"/>
              </w:rPr>
              <w:t>Impairment (reversal)</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NA</w:t>
            </w:r>
          </w:p>
        </w:tc>
        <w:tc>
          <w:tcPr>
            <w:tcW w:w="328" w:type="dxa"/>
            <w:tcBorders/>
            <w:vAlign w:val="bottom"/>
          </w:tcPr>
          <w:p>
            <w:pPr>
              <w:pStyle w:val="TableContents"/>
              <w:bidi w:val="0"/>
              <w:spacing w:before="0" w:after="283"/>
              <w:jc w:val="left"/>
              <w:rPr/>
            </w:pPr>
            <w:r>
              <w:rPr/>
              <w:t> </w:t>
            </w:r>
          </w:p>
        </w:tc>
      </w:tr>
      <w:tr>
        <w:trPr/>
        <w:tc>
          <w:tcPr>
            <w:tcW w:w="7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loss, net</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64.5</w:t>
            </w:r>
          </w:p>
        </w:tc>
        <w:tc>
          <w:tcPr>
            <w:tcW w:w="328" w:type="dxa"/>
            <w:tcBorders/>
            <w:shd w:fill="CCEEFF" w:val="clear"/>
            <w:vAlign w:val="bottom"/>
          </w:tcPr>
          <w:p>
            <w:pPr>
              <w:pStyle w:val="TableContents"/>
              <w:bidi w:val="0"/>
              <w:spacing w:before="0" w:after="283"/>
              <w:jc w:val="left"/>
              <w:rPr/>
            </w:pPr>
            <w:r>
              <w:rPr/>
              <w:t>% </w:t>
            </w:r>
          </w:p>
        </w:tc>
      </w:tr>
      <w:tr>
        <w:trPr/>
        <w:tc>
          <w:tcPr>
            <w:tcW w:w="7073" w:type="dxa"/>
            <w:tcBorders/>
          </w:tcPr>
          <w:p>
            <w:pPr>
              <w:pStyle w:val="TableContents"/>
              <w:bidi w:val="0"/>
              <w:spacing w:before="0" w:after="0"/>
              <w:jc w:val="left"/>
              <w:rPr>
                <w:rFonts w:ascii="Times New Roman" w:hAnsi="Times New Roman"/>
                <w:sz w:val="20"/>
              </w:rPr>
            </w:pPr>
            <w:r>
              <w:rPr>
                <w:rFonts w:ascii="Times New Roman" w:hAnsi="Times New Roman"/>
                <w:sz w:val="20"/>
              </w:rPr>
              <w:t>Share of gain on equity accounted investees, net of tax</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NA</w:t>
            </w:r>
          </w:p>
        </w:tc>
        <w:tc>
          <w:tcPr>
            <w:tcW w:w="328" w:type="dxa"/>
            <w:tcBorders/>
            <w:vAlign w:val="bottom"/>
          </w:tcPr>
          <w:p>
            <w:pPr>
              <w:pStyle w:val="TableContents"/>
              <w:bidi w:val="0"/>
              <w:spacing w:before="0" w:after="283"/>
              <w:jc w:val="left"/>
              <w:rPr/>
            </w:pPr>
            <w:r>
              <w:rPr/>
              <w:t> </w:t>
            </w:r>
          </w:p>
        </w:tc>
      </w:tr>
      <w:tr>
        <w:trPr/>
        <w:tc>
          <w:tcPr>
            <w:tcW w:w="70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b/>
              </w:rPr>
            </w:pPr>
            <w:r>
              <w:rPr>
                <w:b/>
              </w:rPr>
              <w:t>1,200</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b/>
              </w:rPr>
            </w:pPr>
            <w:r>
              <w:rPr>
                <w:b/>
              </w:rPr>
              <w:t>1,042</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b/>
              </w:rPr>
            </w:pPr>
            <w:r>
              <w:rPr>
                <w:b/>
              </w:rPr>
              <w:t>15.1</w:t>
            </w:r>
          </w:p>
        </w:tc>
        <w:tc>
          <w:tcPr>
            <w:tcW w:w="328" w:type="dxa"/>
            <w:tcBorders/>
            <w:shd w:fill="CCEEFF" w:val="clear"/>
            <w:vAlign w:val="bottom"/>
          </w:tcPr>
          <w:p>
            <w:pPr>
              <w:pStyle w:val="TableContents"/>
              <w:bidi w:val="0"/>
              <w:spacing w:before="0" w:after="283"/>
              <w:jc w:val="left"/>
              <w:rPr>
                <w:b/>
              </w:rPr>
            </w:pPr>
            <w:r>
              <w:rPr>
                <w:b/>
              </w:rPr>
              <w:t>% </w:t>
            </w:r>
          </w:p>
        </w:tc>
      </w:tr>
      <w:tr>
        <w:trPr/>
        <w:tc>
          <w:tcPr>
            <w:tcW w:w="70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operating income</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b/>
              </w:rPr>
            </w:pPr>
            <w:r>
              <w:rPr>
                <w:b/>
              </w:rPr>
              <w:t>142</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b/>
              </w:rPr>
            </w:pPr>
            <w:r>
              <w:rPr>
                <w:b/>
              </w:rPr>
              <w:t>142</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b/>
              </w:rPr>
            </w:pPr>
            <w:r>
              <w:rPr>
                <w:b/>
              </w:rPr>
              <w:t>-0.1</w:t>
            </w:r>
          </w:p>
        </w:tc>
        <w:tc>
          <w:tcPr>
            <w:tcW w:w="328" w:type="dxa"/>
            <w:tcBorders/>
            <w:vAlign w:val="bottom"/>
          </w:tcPr>
          <w:p>
            <w:pPr>
              <w:pStyle w:val="TableContents"/>
              <w:bidi w:val="0"/>
              <w:spacing w:before="0" w:after="283"/>
              <w:jc w:val="left"/>
              <w:rPr>
                <w:b/>
              </w:rPr>
            </w:pPr>
            <w:r>
              <w:rPr>
                <w:b/>
              </w:rPr>
              <w:t>% </w:t>
            </w:r>
          </w:p>
        </w:tc>
      </w:tr>
      <w:tr>
        <w:trPr/>
        <w:tc>
          <w:tcPr>
            <w:tcW w:w="7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income (cost):</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769"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r>
      <w:tr>
        <w:trPr/>
        <w:tc>
          <w:tcPr>
            <w:tcW w:w="7073" w:type="dxa"/>
            <w:tcBorders/>
          </w:tcPr>
          <w:p>
            <w:pPr>
              <w:pStyle w:val="TableContents"/>
              <w:bidi w:val="0"/>
              <w:spacing w:before="0" w:after="0"/>
              <w:jc w:val="left"/>
              <w:rPr>
                <w:rFonts w:ascii="Times New Roman" w:hAnsi="Times New Roman"/>
                <w:sz w:val="20"/>
              </w:rPr>
            </w:pPr>
            <w:r>
              <w:rPr>
                <w:rFonts w:ascii="Times New Roman" w:hAnsi="Times New Roman"/>
                <w:sz w:val="20"/>
              </w:rPr>
              <w:t>Net finance cost</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129</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115</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12.7</w:t>
            </w:r>
          </w:p>
        </w:tc>
        <w:tc>
          <w:tcPr>
            <w:tcW w:w="328" w:type="dxa"/>
            <w:tcBorders/>
            <w:vAlign w:val="bottom"/>
          </w:tcPr>
          <w:p>
            <w:pPr>
              <w:pStyle w:val="TableContents"/>
              <w:bidi w:val="0"/>
              <w:spacing w:before="0" w:after="283"/>
              <w:jc w:val="left"/>
              <w:rPr/>
            </w:pPr>
            <w:r>
              <w:rPr/>
              <w:t>% </w:t>
            </w:r>
          </w:p>
        </w:tc>
      </w:tr>
      <w:tr>
        <w:trPr/>
        <w:tc>
          <w:tcPr>
            <w:tcW w:w="70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before income tax</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b/>
              </w:rPr>
            </w:pPr>
            <w:r>
              <w:rPr>
                <w:b/>
              </w:rPr>
              <w:t>13</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b/>
              </w:rPr>
            </w:pPr>
            <w:r>
              <w:rPr>
                <w:b/>
              </w:rPr>
              <w:t>27</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b/>
              </w:rPr>
            </w:pPr>
            <w:r>
              <w:rPr>
                <w:b/>
              </w:rPr>
              <w:t>-54.0</w:t>
            </w:r>
          </w:p>
        </w:tc>
        <w:tc>
          <w:tcPr>
            <w:tcW w:w="328" w:type="dxa"/>
            <w:tcBorders/>
            <w:shd w:fill="CCEEFF" w:val="clear"/>
            <w:vAlign w:val="bottom"/>
          </w:tcPr>
          <w:p>
            <w:pPr>
              <w:pStyle w:val="TableContents"/>
              <w:bidi w:val="0"/>
              <w:spacing w:before="0" w:after="283"/>
              <w:jc w:val="left"/>
              <w:rPr>
                <w:b/>
              </w:rPr>
            </w:pPr>
            <w:r>
              <w:rPr>
                <w:b/>
              </w:rPr>
              <w:t>% </w:t>
            </w:r>
          </w:p>
        </w:tc>
      </w:tr>
      <w:tr>
        <w:trPr/>
        <w:tc>
          <w:tcPr>
            <w:tcW w:w="7073" w:type="dxa"/>
            <w:tcBorders/>
          </w:tcPr>
          <w:p>
            <w:pPr>
              <w:pStyle w:val="TableContents"/>
              <w:bidi w:val="0"/>
              <w:spacing w:before="0" w:after="0"/>
              <w:jc w:val="left"/>
              <w:rPr>
                <w:rFonts w:ascii="Times New Roman" w:hAnsi="Times New Roman"/>
                <w:sz w:val="20"/>
              </w:rPr>
            </w:pPr>
            <w:r>
              <w:rPr>
                <w:rFonts w:ascii="Times New Roman" w:hAnsi="Times New Roman"/>
                <w:sz w:val="20"/>
              </w:rPr>
              <w:t>Income tax</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-65.9</w:t>
            </w:r>
          </w:p>
        </w:tc>
        <w:tc>
          <w:tcPr>
            <w:tcW w:w="328" w:type="dxa"/>
            <w:tcBorders/>
            <w:vAlign w:val="bottom"/>
          </w:tcPr>
          <w:p>
            <w:pPr>
              <w:pStyle w:val="TableContents"/>
              <w:bidi w:val="0"/>
              <w:spacing w:before="0" w:after="283"/>
              <w:jc w:val="left"/>
              <w:rPr/>
            </w:pPr>
            <w:r>
              <w:rPr/>
              <w:t>% </w:t>
            </w:r>
          </w:p>
        </w:tc>
      </w:tr>
      <w:tr>
        <w:trPr/>
        <w:tc>
          <w:tcPr>
            <w:tcW w:w="70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for the period</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b/>
              </w:rPr>
            </w:pPr>
            <w:r>
              <w:rPr>
                <w:b/>
              </w:rPr>
              <w:t>11</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b/>
              </w:rPr>
            </w:pPr>
            <w:r>
              <w:rPr>
                <w:b/>
              </w:rPr>
              <w:t>22</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b/>
              </w:rPr>
            </w:pPr>
            <w:r>
              <w:rPr>
                <w:b/>
              </w:rPr>
              <w:t>-51.0</w:t>
            </w:r>
          </w:p>
        </w:tc>
        <w:tc>
          <w:tcPr>
            <w:tcW w:w="328" w:type="dxa"/>
            <w:tcBorders/>
            <w:shd w:fill="CCEEFF" w:val="clear"/>
            <w:vAlign w:val="bottom"/>
          </w:tcPr>
          <w:p>
            <w:pPr>
              <w:pStyle w:val="TableContents"/>
              <w:bidi w:val="0"/>
              <w:spacing w:before="0" w:after="283"/>
              <w:jc w:val="left"/>
              <w:rPr>
                <w:b/>
              </w:rPr>
            </w:pPr>
            <w:r>
              <w:rPr>
                <w:b/>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Company has used the US dollar as the presentation currency for these consolidated financial statements, which is also its functional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4067175" cy="4857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067175" cy="485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Grupo Aeroméxico, S.A.B. de C.V.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Financial Position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21"/>
        <w:gridCol w:w="510"/>
        <w:gridCol w:w="155"/>
        <w:gridCol w:w="1463"/>
        <w:gridCol w:w="155"/>
        <w:gridCol w:w="457"/>
        <w:gridCol w:w="189"/>
        <w:gridCol w:w="1797"/>
        <w:gridCol w:w="158"/>
      </w:tblGrid>
      <w:tr>
        <w:trPr/>
        <w:tc>
          <w:tcPr>
            <w:tcW w:w="5321"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21"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42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(USD Millions)</w:t>
            </w:r>
          </w:p>
        </w:tc>
        <w:tc>
          <w:tcPr>
            <w:tcW w:w="158" w:type="dxa"/>
            <w:tcBorders/>
            <w:vAlign w:val="bottom"/>
          </w:tcPr>
          <w:p>
            <w:pPr>
              <w:pStyle w:val="TableContents"/>
              <w:bidi w:val="0"/>
              <w:spacing w:before="0" w:after="283"/>
              <w:jc w:val="left"/>
              <w:rPr/>
            </w:pPr>
            <w:r>
              <w:rPr/>
              <w:t> </w:t>
            </w:r>
          </w:p>
        </w:tc>
      </w:tr>
      <w:tr>
        <w:trPr/>
        <w:tc>
          <w:tcPr>
            <w:tcW w:w="5321"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16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15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9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8" w:type="dxa"/>
            <w:tcBorders/>
            <w:vAlign w:val="bottom"/>
          </w:tcPr>
          <w:p>
            <w:pPr>
              <w:pStyle w:val="TableContents"/>
              <w:bidi w:val="0"/>
              <w:spacing w:before="0" w:after="283"/>
              <w:jc w:val="left"/>
              <w:rPr/>
            </w:pPr>
            <w:r>
              <w:rPr/>
              <w:t> </w:t>
            </w:r>
          </w:p>
        </w:tc>
      </w:tr>
      <w:tr>
        <w:trPr/>
        <w:tc>
          <w:tcPr>
            <w:tcW w:w="53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51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79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321"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51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4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79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51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63" w:type="dxa"/>
            <w:tcBorders/>
            <w:shd w:fill="CCEEFF" w:val="clear"/>
            <w:vAlign w:val="bottom"/>
          </w:tcPr>
          <w:p>
            <w:pPr>
              <w:pStyle w:val="TableContents"/>
              <w:bidi w:val="0"/>
              <w:spacing w:before="0" w:after="283"/>
              <w:jc w:val="right"/>
              <w:rPr/>
            </w:pPr>
            <w:r>
              <w:rPr/>
              <w:t>1,018</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1,024</w:t>
            </w:r>
          </w:p>
        </w:tc>
        <w:tc>
          <w:tcPr>
            <w:tcW w:w="158" w:type="dxa"/>
            <w:tcBorders/>
            <w:shd w:fill="CCEEFF" w:val="clear"/>
            <w:vAlign w:val="bottom"/>
          </w:tcPr>
          <w:p>
            <w:pPr>
              <w:pStyle w:val="TableContents"/>
              <w:bidi w:val="0"/>
              <w:spacing w:before="0" w:after="283"/>
              <w:jc w:val="left"/>
              <w:rPr/>
            </w:pPr>
            <w:r>
              <w:rPr/>
              <w:t> </w:t>
            </w:r>
          </w:p>
        </w:tc>
      </w:tr>
      <w:tr>
        <w:trPr/>
        <w:tc>
          <w:tcPr>
            <w:tcW w:w="5321"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51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63"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and other receivables</w:t>
            </w:r>
          </w:p>
        </w:tc>
        <w:tc>
          <w:tcPr>
            <w:tcW w:w="51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63" w:type="dxa"/>
            <w:tcBorders/>
            <w:shd w:fill="CCEEFF" w:val="clear"/>
            <w:vAlign w:val="bottom"/>
          </w:tcPr>
          <w:p>
            <w:pPr>
              <w:pStyle w:val="TableContents"/>
              <w:bidi w:val="0"/>
              <w:spacing w:before="0" w:after="283"/>
              <w:jc w:val="right"/>
              <w:rPr/>
            </w:pPr>
            <w:r>
              <w:rPr/>
              <w:t>767</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700</w:t>
            </w:r>
          </w:p>
        </w:tc>
        <w:tc>
          <w:tcPr>
            <w:tcW w:w="158" w:type="dxa"/>
            <w:tcBorders/>
            <w:shd w:fill="CCEEFF" w:val="clear"/>
            <w:vAlign w:val="bottom"/>
          </w:tcPr>
          <w:p>
            <w:pPr>
              <w:pStyle w:val="TableContents"/>
              <w:bidi w:val="0"/>
              <w:spacing w:before="0" w:after="283"/>
              <w:jc w:val="left"/>
              <w:rPr/>
            </w:pPr>
            <w:r>
              <w:rPr/>
              <w:t> </w:t>
            </w:r>
          </w:p>
        </w:tc>
      </w:tr>
      <w:tr>
        <w:trPr/>
        <w:tc>
          <w:tcPr>
            <w:tcW w:w="5321" w:type="dxa"/>
            <w:tcBorders/>
          </w:tcPr>
          <w:p>
            <w:pPr>
              <w:pStyle w:val="TableContents"/>
              <w:bidi w:val="0"/>
              <w:spacing w:before="0" w:after="0"/>
              <w:jc w:val="left"/>
              <w:rPr>
                <w:rFonts w:ascii="Times New Roman" w:hAnsi="Times New Roman"/>
                <w:sz w:val="20"/>
              </w:rPr>
            </w:pPr>
            <w:r>
              <w:rPr>
                <w:rFonts w:ascii="Times New Roman" w:hAnsi="Times New Roman"/>
                <w:sz w:val="20"/>
              </w:rPr>
              <w:t>Due from related parties</w:t>
            </w:r>
          </w:p>
        </w:tc>
        <w:tc>
          <w:tcPr>
            <w:tcW w:w="51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63"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3</w:t>
            </w:r>
          </w:p>
        </w:tc>
        <w:tc>
          <w:tcPr>
            <w:tcW w:w="158" w:type="dxa"/>
            <w:tcBorders/>
            <w:vAlign w:val="bottom"/>
          </w:tcPr>
          <w:p>
            <w:pPr>
              <w:pStyle w:val="TableContents"/>
              <w:bidi w:val="0"/>
              <w:spacing w:before="0" w:after="283"/>
              <w:jc w:val="left"/>
              <w:rPr/>
            </w:pPr>
            <w:r>
              <w:rPr/>
              <w:t> </w:t>
            </w:r>
          </w:p>
        </w:tc>
      </w:tr>
      <w:tr>
        <w:trPr/>
        <w:tc>
          <w:tcPr>
            <w:tcW w:w="5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Prepayments and deposits</w:t>
            </w:r>
          </w:p>
        </w:tc>
        <w:tc>
          <w:tcPr>
            <w:tcW w:w="51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63"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78</w:t>
            </w:r>
          </w:p>
        </w:tc>
        <w:tc>
          <w:tcPr>
            <w:tcW w:w="158" w:type="dxa"/>
            <w:tcBorders/>
            <w:shd w:fill="CCEEFF" w:val="clear"/>
            <w:vAlign w:val="bottom"/>
          </w:tcPr>
          <w:p>
            <w:pPr>
              <w:pStyle w:val="TableContents"/>
              <w:bidi w:val="0"/>
              <w:spacing w:before="0" w:after="283"/>
              <w:jc w:val="left"/>
              <w:rPr/>
            </w:pPr>
            <w:r>
              <w:rPr/>
              <w:t> </w:t>
            </w:r>
          </w:p>
        </w:tc>
      </w:tr>
      <w:tr>
        <w:trPr/>
        <w:tc>
          <w:tcPr>
            <w:tcW w:w="5321"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51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63" w:type="dxa"/>
            <w:tcBorders/>
            <w:vAlign w:val="bottom"/>
          </w:tcPr>
          <w:p>
            <w:pPr>
              <w:pStyle w:val="TableContents"/>
              <w:bidi w:val="0"/>
              <w:spacing w:before="0" w:after="283"/>
              <w:jc w:val="right"/>
              <w:rPr/>
            </w:pPr>
            <w:r>
              <w:rPr/>
              <w:t>185</w:t>
            </w:r>
          </w:p>
        </w:tc>
        <w:tc>
          <w:tcPr>
            <w:tcW w:w="15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174</w:t>
            </w:r>
          </w:p>
        </w:tc>
        <w:tc>
          <w:tcPr>
            <w:tcW w:w="158" w:type="dxa"/>
            <w:tcBorders/>
            <w:vAlign w:val="bottom"/>
          </w:tcPr>
          <w:p>
            <w:pPr>
              <w:pStyle w:val="TableContents"/>
              <w:bidi w:val="0"/>
              <w:spacing w:before="0" w:after="283"/>
              <w:jc w:val="left"/>
              <w:rPr/>
            </w:pPr>
            <w:r>
              <w:rPr/>
              <w:t> </w:t>
            </w:r>
          </w:p>
        </w:tc>
      </w:tr>
      <w:tr>
        <w:trPr/>
        <w:tc>
          <w:tcPr>
            <w:tcW w:w="53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51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63" w:type="dxa"/>
            <w:tcBorders/>
            <w:shd w:fill="CCEEFF" w:val="clear"/>
            <w:vAlign w:val="bottom"/>
          </w:tcPr>
          <w:p>
            <w:pPr>
              <w:pStyle w:val="TableContents"/>
              <w:bidi w:val="0"/>
              <w:spacing w:before="0" w:after="283"/>
              <w:jc w:val="right"/>
              <w:rPr/>
            </w:pPr>
            <w:r>
              <w:rPr/>
              <w:t>2,083</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1,980</w:t>
            </w:r>
          </w:p>
        </w:tc>
        <w:tc>
          <w:tcPr>
            <w:tcW w:w="158" w:type="dxa"/>
            <w:tcBorders/>
            <w:shd w:fill="CCEEFF" w:val="clear"/>
            <w:vAlign w:val="bottom"/>
          </w:tcPr>
          <w:p>
            <w:pPr>
              <w:pStyle w:val="TableContents"/>
              <w:bidi w:val="0"/>
              <w:spacing w:before="0" w:after="283"/>
              <w:jc w:val="left"/>
              <w:rPr/>
            </w:pPr>
            <w:r>
              <w:rPr/>
              <w:t> </w:t>
            </w:r>
          </w:p>
        </w:tc>
      </w:tr>
      <w:tr>
        <w:trPr/>
        <w:tc>
          <w:tcPr>
            <w:tcW w:w="5321"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51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4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79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including right-of-use</w:t>
            </w:r>
          </w:p>
        </w:tc>
        <w:tc>
          <w:tcPr>
            <w:tcW w:w="51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63" w:type="dxa"/>
            <w:tcBorders/>
            <w:shd w:fill="CCEEFF" w:val="clear"/>
            <w:vAlign w:val="bottom"/>
          </w:tcPr>
          <w:p>
            <w:pPr>
              <w:pStyle w:val="TableContents"/>
              <w:bidi w:val="0"/>
              <w:spacing w:before="0" w:after="283"/>
              <w:jc w:val="right"/>
              <w:rPr/>
            </w:pPr>
            <w:r>
              <w:rPr/>
              <w:t>3,614</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3,674</w:t>
            </w:r>
          </w:p>
        </w:tc>
        <w:tc>
          <w:tcPr>
            <w:tcW w:w="158" w:type="dxa"/>
            <w:tcBorders/>
            <w:shd w:fill="CCEEFF" w:val="clear"/>
            <w:vAlign w:val="bottom"/>
          </w:tcPr>
          <w:p>
            <w:pPr>
              <w:pStyle w:val="TableContents"/>
              <w:bidi w:val="0"/>
              <w:spacing w:before="0" w:after="283"/>
              <w:jc w:val="left"/>
              <w:rPr/>
            </w:pPr>
            <w:r>
              <w:rPr/>
              <w:t> </w:t>
            </w:r>
          </w:p>
        </w:tc>
      </w:tr>
      <w:tr>
        <w:trPr/>
        <w:tc>
          <w:tcPr>
            <w:tcW w:w="5321"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51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63" w:type="dxa"/>
            <w:tcBorders/>
            <w:vAlign w:val="bottom"/>
          </w:tcPr>
          <w:p>
            <w:pPr>
              <w:pStyle w:val="TableContents"/>
              <w:bidi w:val="0"/>
              <w:spacing w:before="0" w:after="283"/>
              <w:jc w:val="right"/>
              <w:rPr/>
            </w:pPr>
            <w:r>
              <w:rPr/>
              <w:t>1,540</w:t>
            </w:r>
          </w:p>
        </w:tc>
        <w:tc>
          <w:tcPr>
            <w:tcW w:w="15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1,539</w:t>
            </w:r>
          </w:p>
        </w:tc>
        <w:tc>
          <w:tcPr>
            <w:tcW w:w="158" w:type="dxa"/>
            <w:tcBorders/>
            <w:vAlign w:val="bottom"/>
          </w:tcPr>
          <w:p>
            <w:pPr>
              <w:pStyle w:val="TableContents"/>
              <w:bidi w:val="0"/>
              <w:spacing w:before="0" w:after="283"/>
              <w:jc w:val="left"/>
              <w:rPr/>
            </w:pPr>
            <w:r>
              <w:rPr/>
              <w:t> </w:t>
            </w:r>
          </w:p>
        </w:tc>
      </w:tr>
      <w:tr>
        <w:trPr/>
        <w:tc>
          <w:tcPr>
            <w:tcW w:w="53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51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63" w:type="dxa"/>
            <w:tcBorders/>
            <w:shd w:fill="CCEEFF" w:val="clear"/>
            <w:vAlign w:val="bottom"/>
          </w:tcPr>
          <w:p>
            <w:pPr>
              <w:pStyle w:val="TableContents"/>
              <w:bidi w:val="0"/>
              <w:spacing w:before="0" w:after="283"/>
              <w:jc w:val="right"/>
              <w:rPr/>
            </w:pPr>
            <w:r>
              <w:rPr/>
              <w:t>5,154</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5,213</w:t>
            </w:r>
          </w:p>
        </w:tc>
        <w:tc>
          <w:tcPr>
            <w:tcW w:w="158" w:type="dxa"/>
            <w:tcBorders/>
            <w:shd w:fill="CCEEFF" w:val="clear"/>
            <w:vAlign w:val="bottom"/>
          </w:tcPr>
          <w:p>
            <w:pPr>
              <w:pStyle w:val="TableContents"/>
              <w:bidi w:val="0"/>
              <w:spacing w:before="0" w:after="283"/>
              <w:jc w:val="left"/>
              <w:rPr/>
            </w:pPr>
            <w:r>
              <w:rPr/>
              <w:t> </w:t>
            </w:r>
          </w:p>
        </w:tc>
      </w:tr>
      <w:tr>
        <w:trPr/>
        <w:tc>
          <w:tcPr>
            <w:tcW w:w="532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51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63" w:type="dxa"/>
            <w:tcBorders/>
            <w:vAlign w:val="bottom"/>
          </w:tcPr>
          <w:p>
            <w:pPr>
              <w:pStyle w:val="TableContents"/>
              <w:bidi w:val="0"/>
              <w:spacing w:before="0" w:after="283"/>
              <w:jc w:val="right"/>
              <w:rPr/>
            </w:pPr>
            <w:r>
              <w:rPr/>
              <w:t>7,236</w:t>
            </w:r>
          </w:p>
        </w:tc>
        <w:tc>
          <w:tcPr>
            <w:tcW w:w="15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7,193</w:t>
            </w:r>
          </w:p>
        </w:tc>
        <w:tc>
          <w:tcPr>
            <w:tcW w:w="158" w:type="dxa"/>
            <w:tcBorders/>
            <w:vAlign w:val="bottom"/>
          </w:tcPr>
          <w:p>
            <w:pPr>
              <w:pStyle w:val="TableContents"/>
              <w:bidi w:val="0"/>
              <w:spacing w:before="0" w:after="283"/>
              <w:jc w:val="left"/>
              <w:rPr/>
            </w:pPr>
            <w:r>
              <w:rPr/>
              <w:t> </w:t>
            </w:r>
          </w:p>
        </w:tc>
      </w:tr>
      <w:tr>
        <w:trPr/>
        <w:tc>
          <w:tcPr>
            <w:tcW w:w="53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51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79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321"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51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4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79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and borrowings, including leases</w:t>
            </w:r>
          </w:p>
        </w:tc>
        <w:tc>
          <w:tcPr>
            <w:tcW w:w="51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63" w:type="dxa"/>
            <w:tcBorders/>
            <w:shd w:fill="CCEEFF" w:val="clear"/>
            <w:vAlign w:val="bottom"/>
          </w:tcPr>
          <w:p>
            <w:pPr>
              <w:pStyle w:val="TableContents"/>
              <w:bidi w:val="0"/>
              <w:spacing w:before="0" w:after="283"/>
              <w:jc w:val="right"/>
              <w:rPr/>
            </w:pPr>
            <w:r>
              <w:rPr/>
              <w:t>456</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451</w:t>
            </w:r>
          </w:p>
        </w:tc>
        <w:tc>
          <w:tcPr>
            <w:tcW w:w="158" w:type="dxa"/>
            <w:tcBorders/>
            <w:shd w:fill="CCEEFF" w:val="clear"/>
            <w:vAlign w:val="bottom"/>
          </w:tcPr>
          <w:p>
            <w:pPr>
              <w:pStyle w:val="TableContents"/>
              <w:bidi w:val="0"/>
              <w:spacing w:before="0" w:after="283"/>
              <w:jc w:val="left"/>
              <w:rPr/>
            </w:pPr>
            <w:r>
              <w:rPr/>
              <w:t> </w:t>
            </w:r>
          </w:p>
        </w:tc>
      </w:tr>
      <w:tr>
        <w:trPr/>
        <w:tc>
          <w:tcPr>
            <w:tcW w:w="5321" w:type="dxa"/>
            <w:tcBorders/>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51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63" w:type="dxa"/>
            <w:tcBorders/>
            <w:vAlign w:val="bottom"/>
          </w:tcPr>
          <w:p>
            <w:pPr>
              <w:pStyle w:val="TableContents"/>
              <w:bidi w:val="0"/>
              <w:spacing w:before="0" w:after="283"/>
              <w:jc w:val="right"/>
              <w:rPr/>
            </w:pPr>
            <w:r>
              <w:rPr/>
              <w:t>2,755</w:t>
            </w:r>
          </w:p>
        </w:tc>
        <w:tc>
          <w:tcPr>
            <w:tcW w:w="15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2,645</w:t>
            </w:r>
          </w:p>
        </w:tc>
        <w:tc>
          <w:tcPr>
            <w:tcW w:w="158" w:type="dxa"/>
            <w:tcBorders/>
            <w:vAlign w:val="bottom"/>
          </w:tcPr>
          <w:p>
            <w:pPr>
              <w:pStyle w:val="TableContents"/>
              <w:bidi w:val="0"/>
              <w:spacing w:before="0" w:after="283"/>
              <w:jc w:val="left"/>
              <w:rPr/>
            </w:pPr>
            <w:r>
              <w:rPr/>
              <w:t> </w:t>
            </w:r>
          </w:p>
        </w:tc>
      </w:tr>
      <w:tr>
        <w:trPr/>
        <w:tc>
          <w:tcPr>
            <w:tcW w:w="53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51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63" w:type="dxa"/>
            <w:tcBorders/>
            <w:shd w:fill="CCEEFF" w:val="clear"/>
            <w:vAlign w:val="bottom"/>
          </w:tcPr>
          <w:p>
            <w:pPr>
              <w:pStyle w:val="TableContents"/>
              <w:bidi w:val="0"/>
              <w:spacing w:before="0" w:after="283"/>
              <w:jc w:val="right"/>
              <w:rPr/>
            </w:pPr>
            <w:r>
              <w:rPr/>
              <w:t>3,211</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3,096</w:t>
            </w:r>
          </w:p>
        </w:tc>
        <w:tc>
          <w:tcPr>
            <w:tcW w:w="158" w:type="dxa"/>
            <w:tcBorders/>
            <w:shd w:fill="CCEEFF" w:val="clear"/>
            <w:vAlign w:val="bottom"/>
          </w:tcPr>
          <w:p>
            <w:pPr>
              <w:pStyle w:val="TableContents"/>
              <w:bidi w:val="0"/>
              <w:spacing w:before="0" w:after="283"/>
              <w:jc w:val="left"/>
              <w:rPr/>
            </w:pPr>
            <w:r>
              <w:rPr/>
              <w:t> </w:t>
            </w:r>
          </w:p>
        </w:tc>
      </w:tr>
      <w:tr>
        <w:trPr/>
        <w:tc>
          <w:tcPr>
            <w:tcW w:w="5321"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51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4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79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and borrowings, including leases</w:t>
            </w:r>
          </w:p>
        </w:tc>
        <w:tc>
          <w:tcPr>
            <w:tcW w:w="51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63" w:type="dxa"/>
            <w:tcBorders/>
            <w:shd w:fill="CCEEFF" w:val="clear"/>
            <w:vAlign w:val="bottom"/>
          </w:tcPr>
          <w:p>
            <w:pPr>
              <w:pStyle w:val="TableContents"/>
              <w:bidi w:val="0"/>
              <w:spacing w:before="0" w:after="283"/>
              <w:jc w:val="right"/>
              <w:rPr/>
            </w:pPr>
            <w:r>
              <w:rPr/>
              <w:t>3,528</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3,604</w:t>
            </w:r>
          </w:p>
        </w:tc>
        <w:tc>
          <w:tcPr>
            <w:tcW w:w="158" w:type="dxa"/>
            <w:tcBorders/>
            <w:shd w:fill="CCEEFF" w:val="clear"/>
            <w:vAlign w:val="bottom"/>
          </w:tcPr>
          <w:p>
            <w:pPr>
              <w:pStyle w:val="TableContents"/>
              <w:bidi w:val="0"/>
              <w:spacing w:before="0" w:after="283"/>
              <w:jc w:val="left"/>
              <w:rPr/>
            </w:pPr>
            <w:r>
              <w:rPr/>
              <w:t> </w:t>
            </w:r>
          </w:p>
        </w:tc>
      </w:tr>
      <w:tr>
        <w:trPr/>
        <w:tc>
          <w:tcPr>
            <w:tcW w:w="5321" w:type="dxa"/>
            <w:tcBorders/>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51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63" w:type="dxa"/>
            <w:tcBorders/>
            <w:vAlign w:val="bottom"/>
          </w:tcPr>
          <w:p>
            <w:pPr>
              <w:pStyle w:val="TableContents"/>
              <w:bidi w:val="0"/>
              <w:spacing w:before="0" w:after="283"/>
              <w:jc w:val="right"/>
              <w:rPr/>
            </w:pPr>
            <w:r>
              <w:rPr/>
              <w:t>1,078</w:t>
            </w:r>
          </w:p>
        </w:tc>
        <w:tc>
          <w:tcPr>
            <w:tcW w:w="15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1,085</w:t>
            </w:r>
          </w:p>
        </w:tc>
        <w:tc>
          <w:tcPr>
            <w:tcW w:w="158" w:type="dxa"/>
            <w:tcBorders/>
            <w:vAlign w:val="bottom"/>
          </w:tcPr>
          <w:p>
            <w:pPr>
              <w:pStyle w:val="TableContents"/>
              <w:bidi w:val="0"/>
              <w:spacing w:before="0" w:after="283"/>
              <w:jc w:val="left"/>
              <w:rPr/>
            </w:pPr>
            <w:r>
              <w:rPr/>
              <w:t> </w:t>
            </w:r>
          </w:p>
        </w:tc>
      </w:tr>
      <w:tr>
        <w:trPr/>
        <w:tc>
          <w:tcPr>
            <w:tcW w:w="53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51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63" w:type="dxa"/>
            <w:tcBorders/>
            <w:shd w:fill="CCEEFF" w:val="clear"/>
            <w:vAlign w:val="bottom"/>
          </w:tcPr>
          <w:p>
            <w:pPr>
              <w:pStyle w:val="TableContents"/>
              <w:bidi w:val="0"/>
              <w:spacing w:before="0" w:after="283"/>
              <w:jc w:val="right"/>
              <w:rPr/>
            </w:pPr>
            <w:r>
              <w:rPr/>
              <w:t>4,606</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4,689</w:t>
            </w:r>
          </w:p>
        </w:tc>
        <w:tc>
          <w:tcPr>
            <w:tcW w:w="158" w:type="dxa"/>
            <w:tcBorders/>
            <w:shd w:fill="CCEEFF" w:val="clear"/>
            <w:vAlign w:val="bottom"/>
          </w:tcPr>
          <w:p>
            <w:pPr>
              <w:pStyle w:val="TableContents"/>
              <w:bidi w:val="0"/>
              <w:spacing w:before="0" w:after="283"/>
              <w:jc w:val="left"/>
              <w:rPr/>
            </w:pPr>
            <w:r>
              <w:rPr/>
              <w:t> </w:t>
            </w:r>
          </w:p>
        </w:tc>
      </w:tr>
      <w:tr>
        <w:trPr/>
        <w:tc>
          <w:tcPr>
            <w:tcW w:w="532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51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63" w:type="dxa"/>
            <w:tcBorders/>
            <w:vAlign w:val="bottom"/>
          </w:tcPr>
          <w:p>
            <w:pPr>
              <w:pStyle w:val="TableContents"/>
              <w:bidi w:val="0"/>
              <w:spacing w:before="0" w:after="283"/>
              <w:jc w:val="right"/>
              <w:rPr/>
            </w:pPr>
            <w:r>
              <w:rPr/>
              <w:t>7,817</w:t>
            </w:r>
          </w:p>
        </w:tc>
        <w:tc>
          <w:tcPr>
            <w:tcW w:w="15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7,785</w:t>
            </w:r>
          </w:p>
        </w:tc>
        <w:tc>
          <w:tcPr>
            <w:tcW w:w="158" w:type="dxa"/>
            <w:tcBorders/>
            <w:vAlign w:val="bottom"/>
          </w:tcPr>
          <w:p>
            <w:pPr>
              <w:pStyle w:val="TableContents"/>
              <w:bidi w:val="0"/>
              <w:spacing w:before="0" w:after="283"/>
              <w:jc w:val="left"/>
              <w:rPr/>
            </w:pPr>
            <w:r>
              <w:rPr/>
              <w:t> </w:t>
            </w:r>
          </w:p>
        </w:tc>
      </w:tr>
      <w:tr>
        <w:trPr/>
        <w:tc>
          <w:tcPr>
            <w:tcW w:w="53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equity (deficit)</w:t>
            </w:r>
          </w:p>
        </w:tc>
        <w:tc>
          <w:tcPr>
            <w:tcW w:w="51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63" w:type="dxa"/>
            <w:tcBorders/>
            <w:shd w:fill="CCEEFF" w:val="clear"/>
            <w:vAlign w:val="bottom"/>
          </w:tcPr>
          <w:p>
            <w:pPr>
              <w:pStyle w:val="TableContents"/>
              <w:bidi w:val="0"/>
              <w:spacing w:before="0" w:after="283"/>
              <w:jc w:val="right"/>
              <w:rPr/>
            </w:pPr>
            <w:r>
              <w:rPr/>
              <w:t>(581</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(592</w:t>
            </w:r>
          </w:p>
        </w:tc>
        <w:tc>
          <w:tcPr>
            <w:tcW w:w="158" w:type="dxa"/>
            <w:tcBorders/>
            <w:shd w:fill="CCEEFF" w:val="clear"/>
            <w:vAlign w:val="bottom"/>
          </w:tcPr>
          <w:p>
            <w:pPr>
              <w:pStyle w:val="TableContents"/>
              <w:bidi w:val="0"/>
              <w:spacing w:before="0" w:after="283"/>
              <w:jc w:val="left"/>
              <w:rPr/>
            </w:pPr>
            <w:r>
              <w:rPr/>
              <w:t>) </w:t>
            </w:r>
          </w:p>
        </w:tc>
      </w:tr>
      <w:tr>
        <w:trPr/>
        <w:tc>
          <w:tcPr>
            <w:tcW w:w="532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equity and liabilities</w:t>
            </w:r>
          </w:p>
        </w:tc>
        <w:tc>
          <w:tcPr>
            <w:tcW w:w="51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63" w:type="dxa"/>
            <w:tcBorders/>
            <w:vAlign w:val="bottom"/>
          </w:tcPr>
          <w:p>
            <w:pPr>
              <w:pStyle w:val="TableContents"/>
              <w:bidi w:val="0"/>
              <w:spacing w:before="0" w:after="283"/>
              <w:jc w:val="right"/>
              <w:rPr/>
            </w:pPr>
            <w:r>
              <w:rPr/>
              <w:t>7,236</w:t>
            </w:r>
          </w:p>
        </w:tc>
        <w:tc>
          <w:tcPr>
            <w:tcW w:w="15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7,193</w:t>
            </w:r>
          </w:p>
        </w:tc>
        <w:tc>
          <w:tcPr>
            <w:tcW w:w="158"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The Company has used the US dollar as the presentation currency for these consolidated financial statements, which is also its functional currency.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4067175" cy="4857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067175" cy="485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Grupo Aeroméxico, S.A.B. de C.V.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60"/>
        <w:gridCol w:w="165"/>
        <w:gridCol w:w="97"/>
        <w:gridCol w:w="949"/>
        <w:gridCol w:w="252"/>
        <w:gridCol w:w="146"/>
        <w:gridCol w:w="97"/>
        <w:gridCol w:w="741"/>
        <w:gridCol w:w="252"/>
        <w:gridCol w:w="146"/>
        <w:gridCol w:w="96"/>
        <w:gridCol w:w="645"/>
        <w:gridCol w:w="159"/>
      </w:tblGrid>
      <w:tr>
        <w:trPr/>
        <w:tc>
          <w:tcPr>
            <w:tcW w:w="646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42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9" w:type="dxa"/>
            <w:tcBorders/>
            <w:vAlign w:val="bottom"/>
          </w:tcPr>
          <w:p>
            <w:pPr>
              <w:pStyle w:val="TableContents"/>
              <w:bidi w:val="0"/>
              <w:spacing w:before="0" w:after="283"/>
              <w:jc w:val="left"/>
              <w:rPr/>
            </w:pPr>
            <w:r>
              <w:rPr/>
              <w:t> </w:t>
            </w:r>
          </w:p>
        </w:tc>
      </w:tr>
      <w:tr>
        <w:trPr/>
        <w:tc>
          <w:tcPr>
            <w:tcW w:w="64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42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(USD Millions)</w:t>
            </w:r>
          </w:p>
        </w:tc>
        <w:tc>
          <w:tcPr>
            <w:tcW w:w="159" w:type="dxa"/>
            <w:tcBorders/>
            <w:vAlign w:val="bottom"/>
          </w:tcPr>
          <w:p>
            <w:pPr>
              <w:pStyle w:val="TableContents"/>
              <w:bidi w:val="0"/>
              <w:spacing w:before="0" w:after="283"/>
              <w:jc w:val="left"/>
              <w:rPr/>
            </w:pPr>
            <w:r>
              <w:rPr/>
              <w:t> </w:t>
            </w:r>
          </w:p>
        </w:tc>
      </w:tr>
      <w:tr>
        <w:trPr/>
        <w:tc>
          <w:tcPr>
            <w:tcW w:w="64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0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159" w:type="dxa"/>
            <w:tcBorders/>
            <w:vAlign w:val="bottom"/>
          </w:tcPr>
          <w:p>
            <w:pPr>
              <w:pStyle w:val="TableContents"/>
              <w:bidi w:val="0"/>
              <w:spacing w:before="0" w:after="283"/>
              <w:jc w:val="left"/>
              <w:rPr/>
            </w:pPr>
            <w:r>
              <w:rPr/>
              <w:t> </w:t>
            </w:r>
          </w:p>
        </w:tc>
      </w:tr>
      <w:tr>
        <w:trPr/>
        <w:tc>
          <w:tcPr>
            <w:tcW w:w="64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cash</w:t>
            </w:r>
          </w:p>
        </w:tc>
        <w:tc>
          <w:tcPr>
            <w:tcW w:w="16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b/>
              </w:rPr>
            </w:pPr>
            <w:r>
              <w:rPr>
                <w:b/>
              </w:rPr>
              <w:t>309</w:t>
            </w:r>
          </w:p>
        </w:tc>
        <w:tc>
          <w:tcPr>
            <w:tcW w:w="2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b/>
              </w:rPr>
            </w:pPr>
            <w:r>
              <w:rPr>
                <w:b/>
              </w:rPr>
              <w:t>318</w:t>
            </w:r>
          </w:p>
        </w:tc>
        <w:tc>
          <w:tcPr>
            <w:tcW w:w="2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b/>
              </w:rPr>
            </w:pPr>
            <w:r>
              <w:rPr>
                <w:b/>
              </w:rPr>
              <w:t>(9</w:t>
            </w:r>
          </w:p>
        </w:tc>
        <w:tc>
          <w:tcPr>
            <w:tcW w:w="159" w:type="dxa"/>
            <w:tcBorders/>
            <w:shd w:fill="CCEEFF" w:val="clear"/>
            <w:vAlign w:val="bottom"/>
          </w:tcPr>
          <w:p>
            <w:pPr>
              <w:pStyle w:val="TableContents"/>
              <w:bidi w:val="0"/>
              <w:spacing w:before="0" w:after="283"/>
              <w:jc w:val="left"/>
              <w:rPr>
                <w:b/>
              </w:rPr>
            </w:pPr>
            <w:r>
              <w:rPr>
                <w:b/>
              </w:rPr>
              <w:t>) </w:t>
            </w:r>
          </w:p>
        </w:tc>
      </w:tr>
      <w:tr>
        <w:trPr/>
        <w:tc>
          <w:tcPr>
            <w:tcW w:w="6460" w:type="dxa"/>
            <w:tcBorders/>
          </w:tcPr>
          <w:p>
            <w:pPr>
              <w:pStyle w:val="TableContents"/>
              <w:bidi w:val="0"/>
              <w:spacing w:before="0" w:after="0"/>
              <w:jc w:val="left"/>
              <w:rPr>
                <w:rFonts w:ascii="Times New Roman" w:hAnsi="Times New Roman"/>
                <w:sz w:val="20"/>
              </w:rPr>
            </w:pPr>
            <w:r>
              <w:rPr>
                <w:rFonts w:ascii="Times New Roman" w:hAnsi="Times New Roman"/>
                <w:sz w:val="20"/>
              </w:rPr>
              <w:t>Operational assets and liabilities</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(29</w:t>
            </w:r>
          </w:p>
        </w:tc>
        <w:tc>
          <w:tcPr>
            <w:tcW w:w="2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(57</w:t>
            </w:r>
          </w:p>
        </w:tc>
        <w:tc>
          <w:tcPr>
            <w:tcW w:w="2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27</w:t>
            </w:r>
          </w:p>
        </w:tc>
        <w:tc>
          <w:tcPr>
            <w:tcW w:w="159" w:type="dxa"/>
            <w:tcBorders/>
            <w:vAlign w:val="bottom"/>
          </w:tcPr>
          <w:p>
            <w:pPr>
              <w:pStyle w:val="TableContents"/>
              <w:bidi w:val="0"/>
              <w:spacing w:before="0" w:after="283"/>
              <w:jc w:val="left"/>
              <w:rPr/>
            </w:pPr>
            <w:r>
              <w:rPr/>
              <w:t> </w:t>
            </w:r>
          </w:p>
        </w:tc>
      </w:tr>
      <w:tr>
        <w:trPr/>
        <w:tc>
          <w:tcPr>
            <w:tcW w:w="64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generated from (required by) operating activities</w:t>
            </w:r>
          </w:p>
        </w:tc>
        <w:tc>
          <w:tcPr>
            <w:tcW w:w="16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b/>
              </w:rPr>
            </w:pPr>
            <w:r>
              <w:rPr>
                <w:b/>
              </w:rPr>
              <w:t>279</w:t>
            </w:r>
          </w:p>
        </w:tc>
        <w:tc>
          <w:tcPr>
            <w:tcW w:w="2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b/>
              </w:rPr>
            </w:pPr>
            <w:r>
              <w:rPr>
                <w:b/>
              </w:rPr>
              <w:t>261</w:t>
            </w:r>
          </w:p>
        </w:tc>
        <w:tc>
          <w:tcPr>
            <w:tcW w:w="2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b/>
              </w:rPr>
            </w:pPr>
            <w:r>
              <w:rPr>
                <w:b/>
              </w:rPr>
              <w:t>18</w:t>
            </w:r>
          </w:p>
        </w:tc>
        <w:tc>
          <w:tcPr>
            <w:tcW w:w="159" w:type="dxa"/>
            <w:tcBorders/>
            <w:shd w:fill="CCEEFF" w:val="clear"/>
            <w:vAlign w:val="bottom"/>
          </w:tcPr>
          <w:p>
            <w:pPr>
              <w:pStyle w:val="TableContents"/>
              <w:bidi w:val="0"/>
              <w:spacing w:before="0" w:after="283"/>
              <w:jc w:val="left"/>
              <w:rPr/>
            </w:pPr>
            <w:r>
              <w:rPr/>
              <w:t> </w:t>
            </w:r>
          </w:p>
        </w:tc>
      </w:tr>
      <w:tr>
        <w:trPr/>
        <w:tc>
          <w:tcPr>
            <w:tcW w:w="646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paid</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(16</w:t>
            </w:r>
          </w:p>
        </w:tc>
        <w:tc>
          <w:tcPr>
            <w:tcW w:w="2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(28</w:t>
            </w:r>
          </w:p>
        </w:tc>
        <w:tc>
          <w:tcPr>
            <w:tcW w:w="2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12</w:t>
            </w:r>
          </w:p>
        </w:tc>
        <w:tc>
          <w:tcPr>
            <w:tcW w:w="159" w:type="dxa"/>
            <w:tcBorders/>
            <w:vAlign w:val="bottom"/>
          </w:tcPr>
          <w:p>
            <w:pPr>
              <w:pStyle w:val="TableContents"/>
              <w:bidi w:val="0"/>
              <w:spacing w:before="0" w:after="283"/>
              <w:jc w:val="left"/>
              <w:rPr/>
            </w:pPr>
            <w:r>
              <w:rPr/>
              <w:t> </w:t>
            </w:r>
          </w:p>
        </w:tc>
      </w:tr>
      <w:tr>
        <w:trPr/>
        <w:tc>
          <w:tcPr>
            <w:tcW w:w="6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16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(63</w:t>
            </w:r>
          </w:p>
        </w:tc>
        <w:tc>
          <w:tcPr>
            <w:tcW w:w="2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(52</w:t>
            </w:r>
          </w:p>
        </w:tc>
        <w:tc>
          <w:tcPr>
            <w:tcW w:w="2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(11</w:t>
            </w:r>
          </w:p>
        </w:tc>
        <w:tc>
          <w:tcPr>
            <w:tcW w:w="159" w:type="dxa"/>
            <w:tcBorders/>
            <w:shd w:fill="CCEEFF" w:val="clear"/>
            <w:vAlign w:val="bottom"/>
          </w:tcPr>
          <w:p>
            <w:pPr>
              <w:pStyle w:val="TableContents"/>
              <w:bidi w:val="0"/>
              <w:spacing w:before="0" w:after="283"/>
              <w:jc w:val="left"/>
              <w:rPr/>
            </w:pPr>
            <w:r>
              <w:rPr/>
              <w:t>) </w:t>
            </w:r>
          </w:p>
        </w:tc>
      </w:tr>
      <w:tr>
        <w:trPr/>
        <w:tc>
          <w:tcPr>
            <w:tcW w:w="64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from (used in) operating activities</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b/>
              </w:rPr>
            </w:pPr>
            <w:r>
              <w:rPr>
                <w:b/>
              </w:rPr>
              <w:t>201</w:t>
            </w:r>
          </w:p>
        </w:tc>
        <w:tc>
          <w:tcPr>
            <w:tcW w:w="2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b/>
              </w:rPr>
            </w:pPr>
            <w:r>
              <w:rPr>
                <w:b/>
              </w:rPr>
              <w:t>181</w:t>
            </w:r>
          </w:p>
        </w:tc>
        <w:tc>
          <w:tcPr>
            <w:tcW w:w="2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b/>
              </w:rPr>
            </w:pPr>
            <w:r>
              <w:rPr>
                <w:b/>
              </w:rPr>
              <w:t>19</w:t>
            </w:r>
          </w:p>
        </w:tc>
        <w:tc>
          <w:tcPr>
            <w:tcW w:w="159" w:type="dxa"/>
            <w:tcBorders/>
            <w:vAlign w:val="bottom"/>
          </w:tcPr>
          <w:p>
            <w:pPr>
              <w:pStyle w:val="TableContents"/>
              <w:bidi w:val="0"/>
              <w:spacing w:before="0" w:after="283"/>
              <w:jc w:val="left"/>
              <w:rPr/>
            </w:pPr>
            <w:r>
              <w:rPr/>
              <w:t> </w:t>
            </w:r>
          </w:p>
        </w:tc>
      </w:tr>
      <w:tr>
        <w:trPr/>
        <w:tc>
          <w:tcPr>
            <w:tcW w:w="6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of properties and equipment and intangible assets</w:t>
            </w:r>
          </w:p>
        </w:tc>
        <w:tc>
          <w:tcPr>
            <w:tcW w:w="16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(70</w:t>
            </w:r>
          </w:p>
        </w:tc>
        <w:tc>
          <w:tcPr>
            <w:tcW w:w="2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(74</w:t>
            </w:r>
          </w:p>
        </w:tc>
        <w:tc>
          <w:tcPr>
            <w:tcW w:w="2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4</w:t>
            </w:r>
          </w:p>
        </w:tc>
        <w:tc>
          <w:tcPr>
            <w:tcW w:w="159" w:type="dxa"/>
            <w:tcBorders/>
            <w:shd w:fill="CCEEFF" w:val="clear"/>
            <w:vAlign w:val="bottom"/>
          </w:tcPr>
          <w:p>
            <w:pPr>
              <w:pStyle w:val="TableContents"/>
              <w:bidi w:val="0"/>
              <w:spacing w:before="0" w:after="283"/>
              <w:jc w:val="left"/>
              <w:rPr/>
            </w:pPr>
            <w:r>
              <w:rPr/>
              <w:t> </w:t>
            </w:r>
          </w:p>
        </w:tc>
      </w:tr>
      <w:tr>
        <w:trPr/>
        <w:tc>
          <w:tcPr>
            <w:tcW w:w="6460" w:type="dxa"/>
            <w:tcBorders/>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(26</w:t>
            </w:r>
          </w:p>
        </w:tc>
        <w:tc>
          <w:tcPr>
            <w:tcW w:w="2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(3</w:t>
            </w:r>
          </w:p>
        </w:tc>
        <w:tc>
          <w:tcPr>
            <w:tcW w:w="2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(23</w:t>
            </w:r>
          </w:p>
        </w:tc>
        <w:tc>
          <w:tcPr>
            <w:tcW w:w="159" w:type="dxa"/>
            <w:tcBorders/>
            <w:vAlign w:val="bottom"/>
          </w:tcPr>
          <w:p>
            <w:pPr>
              <w:pStyle w:val="TableContents"/>
              <w:bidi w:val="0"/>
              <w:spacing w:before="0" w:after="283"/>
              <w:jc w:val="left"/>
              <w:rPr/>
            </w:pPr>
            <w:r>
              <w:rPr/>
              <w:t>) </w:t>
            </w:r>
          </w:p>
        </w:tc>
      </w:tr>
      <w:tr>
        <w:trPr/>
        <w:tc>
          <w:tcPr>
            <w:tcW w:w="64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16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b/>
              </w:rPr>
            </w:pPr>
            <w:r>
              <w:rPr>
                <w:b/>
              </w:rPr>
              <w:t>(96</w:t>
            </w:r>
          </w:p>
        </w:tc>
        <w:tc>
          <w:tcPr>
            <w:tcW w:w="252" w:type="dxa"/>
            <w:tcBorders/>
            <w:shd w:fill="CCEEFF" w:val="clear"/>
            <w:vAlign w:val="bottom"/>
          </w:tcPr>
          <w:p>
            <w:pPr>
              <w:pStyle w:val="TableContents"/>
              <w:bidi w:val="0"/>
              <w:spacing w:before="0" w:after="283"/>
              <w:jc w:val="left"/>
              <w:rPr>
                <w:b/>
              </w:rPr>
            </w:pPr>
            <w:r>
              <w:rPr>
                <w:b/>
              </w:rPr>
              <w:t>) </w:t>
            </w:r>
          </w:p>
        </w:tc>
        <w:tc>
          <w:tcPr>
            <w:tcW w:w="14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b/>
              </w:rPr>
            </w:pPr>
            <w:r>
              <w:rPr>
                <w:b/>
              </w:rPr>
              <w:t>(76</w:t>
            </w:r>
          </w:p>
        </w:tc>
        <w:tc>
          <w:tcPr>
            <w:tcW w:w="252" w:type="dxa"/>
            <w:tcBorders/>
            <w:shd w:fill="CCEEFF" w:val="clear"/>
            <w:vAlign w:val="bottom"/>
          </w:tcPr>
          <w:p>
            <w:pPr>
              <w:pStyle w:val="TableContents"/>
              <w:bidi w:val="0"/>
              <w:spacing w:before="0" w:after="283"/>
              <w:jc w:val="left"/>
              <w:rPr>
                <w:b/>
              </w:rPr>
            </w:pPr>
            <w:r>
              <w:rPr>
                <w:b/>
              </w:rPr>
              <w:t>) </w:t>
            </w:r>
          </w:p>
        </w:tc>
        <w:tc>
          <w:tcPr>
            <w:tcW w:w="14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b/>
              </w:rPr>
            </w:pPr>
            <w:r>
              <w:rPr>
                <w:b/>
              </w:rPr>
              <w:t>(20</w:t>
            </w:r>
          </w:p>
        </w:tc>
        <w:tc>
          <w:tcPr>
            <w:tcW w:w="159" w:type="dxa"/>
            <w:tcBorders/>
            <w:shd w:fill="CCEEFF" w:val="clear"/>
            <w:vAlign w:val="bottom"/>
          </w:tcPr>
          <w:p>
            <w:pPr>
              <w:pStyle w:val="TableContents"/>
              <w:bidi w:val="0"/>
              <w:spacing w:before="0" w:after="283"/>
              <w:jc w:val="left"/>
              <w:rPr>
                <w:b/>
              </w:rPr>
            </w:pPr>
            <w:r>
              <w:rPr>
                <w:b/>
              </w:rPr>
              <w:t>) </w:t>
            </w:r>
          </w:p>
        </w:tc>
      </w:tr>
      <w:tr>
        <w:trPr/>
        <w:tc>
          <w:tcPr>
            <w:tcW w:w="64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from (used in) financing activities</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b/>
              </w:rPr>
            </w:pPr>
            <w:r>
              <w:rPr>
                <w:b/>
              </w:rPr>
              <w:t>(108</w:t>
            </w:r>
          </w:p>
        </w:tc>
        <w:tc>
          <w:tcPr>
            <w:tcW w:w="252" w:type="dxa"/>
            <w:tcBorders/>
            <w:vAlign w:val="bottom"/>
          </w:tcPr>
          <w:p>
            <w:pPr>
              <w:pStyle w:val="TableContents"/>
              <w:bidi w:val="0"/>
              <w:spacing w:before="0" w:after="283"/>
              <w:jc w:val="left"/>
              <w:rPr>
                <w:b/>
              </w:rPr>
            </w:pPr>
            <w:r>
              <w:rPr>
                <w:b/>
              </w:rPr>
              <w:t>) </w:t>
            </w:r>
          </w:p>
        </w:tc>
        <w:tc>
          <w:tcPr>
            <w:tcW w:w="14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b/>
              </w:rPr>
            </w:pPr>
            <w:r>
              <w:rPr>
                <w:b/>
              </w:rPr>
              <w:t>(107</w:t>
            </w:r>
          </w:p>
        </w:tc>
        <w:tc>
          <w:tcPr>
            <w:tcW w:w="252" w:type="dxa"/>
            <w:tcBorders/>
            <w:vAlign w:val="bottom"/>
          </w:tcPr>
          <w:p>
            <w:pPr>
              <w:pStyle w:val="TableContents"/>
              <w:bidi w:val="0"/>
              <w:spacing w:before="0" w:after="283"/>
              <w:jc w:val="left"/>
              <w:rPr>
                <w:b/>
              </w:rPr>
            </w:pPr>
            <w:r>
              <w:rPr>
                <w:b/>
              </w:rPr>
              <w:t>) </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b/>
              </w:rPr>
            </w:pPr>
            <w:r>
              <w:rPr>
                <w:b/>
              </w:rPr>
              <w:t>(2</w:t>
            </w:r>
          </w:p>
        </w:tc>
        <w:tc>
          <w:tcPr>
            <w:tcW w:w="159" w:type="dxa"/>
            <w:tcBorders/>
            <w:vAlign w:val="bottom"/>
          </w:tcPr>
          <w:p>
            <w:pPr>
              <w:pStyle w:val="TableContents"/>
              <w:bidi w:val="0"/>
              <w:spacing w:before="0" w:after="283"/>
              <w:jc w:val="left"/>
              <w:rPr>
                <w:b/>
              </w:rPr>
            </w:pPr>
            <w:r>
              <w:rPr>
                <w:b/>
              </w:rPr>
              <w:t>) </w:t>
            </w:r>
          </w:p>
        </w:tc>
      </w:tr>
      <w:tr>
        <w:trPr/>
        <w:tc>
          <w:tcPr>
            <w:tcW w:w="6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fluctuations on cash held</w:t>
            </w:r>
          </w:p>
        </w:tc>
        <w:tc>
          <w:tcPr>
            <w:tcW w:w="16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(3</w:t>
            </w:r>
          </w:p>
        </w:tc>
        <w:tc>
          <w:tcPr>
            <w:tcW w:w="2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w:t>
            </w:r>
          </w:p>
        </w:tc>
        <w:tc>
          <w:tcPr>
            <w:tcW w:w="2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(2</w:t>
            </w:r>
          </w:p>
        </w:tc>
        <w:tc>
          <w:tcPr>
            <w:tcW w:w="159" w:type="dxa"/>
            <w:tcBorders/>
            <w:shd w:fill="CCEEFF" w:val="clear"/>
            <w:vAlign w:val="bottom"/>
          </w:tcPr>
          <w:p>
            <w:pPr>
              <w:pStyle w:val="TableContents"/>
              <w:bidi w:val="0"/>
              <w:spacing w:before="0" w:after="283"/>
              <w:jc w:val="left"/>
              <w:rPr/>
            </w:pPr>
            <w:r>
              <w:rPr/>
              <w:t>) </w:t>
            </w:r>
          </w:p>
        </w:tc>
      </w:tr>
      <w:tr>
        <w:trPr/>
        <w:tc>
          <w:tcPr>
            <w:tcW w:w="64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increase (decrease) in cash and cash equivalents</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b/>
              </w:rPr>
            </w:pPr>
            <w:r>
              <w:rPr>
                <w:b/>
              </w:rPr>
              <w:t>(6</w:t>
            </w:r>
          </w:p>
        </w:tc>
        <w:tc>
          <w:tcPr>
            <w:tcW w:w="252" w:type="dxa"/>
            <w:tcBorders/>
            <w:vAlign w:val="bottom"/>
          </w:tcPr>
          <w:p>
            <w:pPr>
              <w:pStyle w:val="TableContents"/>
              <w:bidi w:val="0"/>
              <w:spacing w:before="0" w:after="283"/>
              <w:jc w:val="left"/>
              <w:rPr>
                <w:b/>
              </w:rPr>
            </w:pPr>
            <w:r>
              <w:rPr>
                <w:b/>
              </w:rPr>
              <w:t>) </w:t>
            </w:r>
          </w:p>
        </w:tc>
        <w:tc>
          <w:tcPr>
            <w:tcW w:w="14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b/>
              </w:rPr>
            </w:pPr>
            <w:r>
              <w:rPr>
                <w:b/>
              </w:rPr>
              <w:t>(2</w:t>
            </w:r>
          </w:p>
        </w:tc>
        <w:tc>
          <w:tcPr>
            <w:tcW w:w="252" w:type="dxa"/>
            <w:tcBorders/>
            <w:vAlign w:val="bottom"/>
          </w:tcPr>
          <w:p>
            <w:pPr>
              <w:pStyle w:val="TableContents"/>
              <w:bidi w:val="0"/>
              <w:spacing w:before="0" w:after="283"/>
              <w:jc w:val="left"/>
              <w:rPr>
                <w:b/>
              </w:rPr>
            </w:pPr>
            <w:r>
              <w:rPr>
                <w:b/>
              </w:rPr>
              <w:t>) </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b/>
              </w:rPr>
            </w:pPr>
            <w:r>
              <w:rPr>
                <w:b/>
              </w:rPr>
              <w:t>(4</w:t>
            </w:r>
          </w:p>
        </w:tc>
        <w:tc>
          <w:tcPr>
            <w:tcW w:w="159" w:type="dxa"/>
            <w:tcBorders/>
            <w:vAlign w:val="bottom"/>
          </w:tcPr>
          <w:p>
            <w:pPr>
              <w:pStyle w:val="TableContents"/>
              <w:bidi w:val="0"/>
              <w:spacing w:before="0" w:after="283"/>
              <w:jc w:val="left"/>
              <w:rPr>
                <w:b/>
              </w:rPr>
            </w:pPr>
            <w:r>
              <w:rPr>
                <w:b/>
              </w:rPr>
              <w:t>) </w:t>
            </w:r>
          </w:p>
        </w:tc>
      </w:tr>
      <w:tr>
        <w:trPr/>
        <w:tc>
          <w:tcPr>
            <w:tcW w:w="6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6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460" w:type="dxa"/>
            <w:tcBorders/>
          </w:tcPr>
          <w:p>
            <w:pPr>
              <w:pStyle w:val="TableContents"/>
              <w:bidi w:val="0"/>
              <w:spacing w:before="0" w:after="0"/>
              <w:jc w:val="left"/>
              <w:rPr>
                <w:rFonts w:ascii="Times New Roman" w:hAnsi="Times New Roman"/>
                <w:sz w:val="20"/>
              </w:rPr>
            </w:pPr>
            <w:r>
              <w:rPr>
                <w:rFonts w:ascii="Times New Roman" w:hAnsi="Times New Roman"/>
                <w:sz w:val="20"/>
              </w:rPr>
              <w:t>At beginning of the period</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1,024</w:t>
            </w:r>
          </w:p>
        </w:tc>
        <w:tc>
          <w:tcPr>
            <w:tcW w:w="2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842</w:t>
            </w:r>
          </w:p>
        </w:tc>
        <w:tc>
          <w:tcPr>
            <w:tcW w:w="2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182</w:t>
            </w:r>
          </w:p>
        </w:tc>
        <w:tc>
          <w:tcPr>
            <w:tcW w:w="159" w:type="dxa"/>
            <w:tcBorders/>
            <w:vAlign w:val="bottom"/>
          </w:tcPr>
          <w:p>
            <w:pPr>
              <w:pStyle w:val="TableContents"/>
              <w:bidi w:val="0"/>
              <w:spacing w:before="0" w:after="283"/>
              <w:jc w:val="left"/>
              <w:rPr/>
            </w:pPr>
            <w:r>
              <w:rPr/>
              <w:t> </w:t>
            </w:r>
          </w:p>
        </w:tc>
      </w:tr>
      <w:tr>
        <w:trPr/>
        <w:tc>
          <w:tcPr>
            <w:tcW w:w="6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end of the period</w:t>
            </w:r>
          </w:p>
        </w:tc>
        <w:tc>
          <w:tcPr>
            <w:tcW w:w="16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1,018</w:t>
            </w:r>
          </w:p>
        </w:tc>
        <w:tc>
          <w:tcPr>
            <w:tcW w:w="2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840</w:t>
            </w:r>
          </w:p>
        </w:tc>
        <w:tc>
          <w:tcPr>
            <w:tcW w:w="2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178</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The Company has used the US dollar as the presentation currency for these consolidated financial statements, which is also its functional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4067175" cy="4857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067175" cy="485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AND OPERATIONAL INDICATORS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02"/>
        <w:gridCol w:w="215"/>
        <w:gridCol w:w="60"/>
        <w:gridCol w:w="882"/>
        <w:gridCol w:w="301"/>
        <w:gridCol w:w="161"/>
        <w:gridCol w:w="60"/>
        <w:gridCol w:w="882"/>
        <w:gridCol w:w="301"/>
        <w:gridCol w:w="161"/>
        <w:gridCol w:w="60"/>
        <w:gridCol w:w="894"/>
        <w:gridCol w:w="526"/>
      </w:tblGrid>
      <w:tr>
        <w:trPr/>
        <w:tc>
          <w:tcPr>
            <w:tcW w:w="5702"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5702"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Financial KPIs</w:t>
            </w:r>
          </w:p>
        </w:tc>
        <w:tc>
          <w:tcPr>
            <w:tcW w:w="215" w:type="dxa"/>
            <w:tcBorders/>
            <w:vAlign w:val="bottom"/>
          </w:tcPr>
          <w:p>
            <w:pPr>
              <w:pStyle w:val="TableContents"/>
              <w:bidi w:val="0"/>
              <w:spacing w:before="0" w:after="283"/>
              <w:jc w:val="left"/>
              <w:rPr/>
            </w:pPr>
            <w:r>
              <w:rPr/>
              <w:t>  </w:t>
            </w:r>
          </w:p>
        </w:tc>
        <w:tc>
          <w:tcPr>
            <w:tcW w:w="3762" w:type="dxa"/>
            <w:gridSpan w:val="10"/>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March 31</w:t>
            </w:r>
          </w:p>
        </w:tc>
        <w:tc>
          <w:tcPr>
            <w:tcW w:w="526" w:type="dxa"/>
            <w:tcBorders/>
            <w:vAlign w:val="bottom"/>
          </w:tcPr>
          <w:p>
            <w:pPr>
              <w:pStyle w:val="TableContents"/>
              <w:bidi w:val="0"/>
              <w:spacing w:before="0" w:after="283"/>
              <w:jc w:val="left"/>
              <w:rPr/>
            </w:pPr>
            <w:r>
              <w:rPr/>
              <w:t> </w:t>
            </w:r>
          </w:p>
        </w:tc>
      </w:tr>
      <w:tr>
        <w:trPr/>
        <w:tc>
          <w:tcPr>
            <w:tcW w:w="5702" w:type="dxa"/>
            <w:vMerge w:val="continue"/>
            <w:tcBorders/>
            <w:vAlign w:val="bottom"/>
          </w:tcPr>
          <w:p>
            <w:pPr>
              <w:pStyle w:val="Normal"/>
              <w:bidi w:val="0"/>
              <w:jc w:val="left"/>
              <w:rPr/>
            </w:pPr>
            <w:r>
              <w:rPr/>
            </w:r>
          </w:p>
        </w:tc>
        <w:tc>
          <w:tcPr>
            <w:tcW w:w="215"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1Q26</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1Q25</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526" w:type="dxa"/>
            <w:tcBorders/>
            <w:vAlign w:val="bottom"/>
          </w:tcPr>
          <w:p>
            <w:pPr>
              <w:pStyle w:val="TableContents"/>
              <w:bidi w:val="0"/>
              <w:spacing w:before="0" w:after="283"/>
              <w:jc w:val="left"/>
              <w:rPr/>
            </w:pPr>
            <w:r>
              <w:rPr/>
              <w:t> </w:t>
            </w:r>
          </w:p>
        </w:tc>
      </w:tr>
      <w:tr>
        <w:trPr/>
        <w:tc>
          <w:tcPr>
            <w:tcW w:w="5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1,341</w:t>
            </w:r>
          </w:p>
        </w:tc>
        <w:tc>
          <w:tcPr>
            <w:tcW w:w="30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1,184</w:t>
            </w:r>
          </w:p>
        </w:tc>
        <w:tc>
          <w:tcPr>
            <w:tcW w:w="30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13.3</w:t>
            </w:r>
          </w:p>
        </w:tc>
        <w:tc>
          <w:tcPr>
            <w:tcW w:w="526" w:type="dxa"/>
            <w:tcBorders/>
            <w:shd w:fill="CCEEFF" w:val="clear"/>
            <w:vAlign w:val="bottom"/>
          </w:tcPr>
          <w:p>
            <w:pPr>
              <w:pStyle w:val="TableContents"/>
              <w:bidi w:val="0"/>
              <w:spacing w:before="0" w:after="283"/>
              <w:jc w:val="left"/>
              <w:rPr/>
            </w:pPr>
            <w:r>
              <w:rPr/>
              <w:t>% </w:t>
            </w:r>
          </w:p>
        </w:tc>
      </w:tr>
      <w:tr>
        <w:trPr/>
        <w:tc>
          <w:tcPr>
            <w:tcW w:w="5702" w:type="dxa"/>
            <w:tcBorders/>
          </w:tcPr>
          <w:p>
            <w:pPr>
              <w:pStyle w:val="TableContents"/>
              <w:bidi w:val="0"/>
              <w:spacing w:before="0" w:after="0"/>
              <w:jc w:val="left"/>
              <w:rPr>
                <w:rFonts w:ascii="Times New Roman" w:hAnsi="Times New Roman"/>
                <w:sz w:val="20"/>
              </w:rPr>
            </w:pPr>
            <w:r>
              <w:rPr>
                <w:rFonts w:ascii="Times New Roman" w:hAnsi="Times New Roman"/>
                <w:sz w:val="20"/>
              </w:rPr>
              <w:t>Passenger revenue</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1,212</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1,072</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13.1</w:t>
            </w:r>
          </w:p>
        </w:tc>
        <w:tc>
          <w:tcPr>
            <w:tcW w:w="526" w:type="dxa"/>
            <w:tcBorders/>
            <w:vAlign w:val="bottom"/>
          </w:tcPr>
          <w:p>
            <w:pPr>
              <w:pStyle w:val="TableContents"/>
              <w:bidi w:val="0"/>
              <w:spacing w:before="0" w:after="283"/>
              <w:jc w:val="left"/>
              <w:rPr/>
            </w:pPr>
            <w:r>
              <w:rPr/>
              <w:t>% </w:t>
            </w:r>
          </w:p>
        </w:tc>
      </w:tr>
      <w:tr>
        <w:trPr/>
        <w:tc>
          <w:tcPr>
            <w:tcW w:w="5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EBITDAR(1)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336</w:t>
            </w:r>
          </w:p>
        </w:tc>
        <w:tc>
          <w:tcPr>
            <w:tcW w:w="30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320</w:t>
            </w:r>
          </w:p>
        </w:tc>
        <w:tc>
          <w:tcPr>
            <w:tcW w:w="30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5.0</w:t>
            </w:r>
          </w:p>
        </w:tc>
        <w:tc>
          <w:tcPr>
            <w:tcW w:w="526" w:type="dxa"/>
            <w:tcBorders/>
            <w:shd w:fill="CCEEFF" w:val="clear"/>
            <w:vAlign w:val="bottom"/>
          </w:tcPr>
          <w:p>
            <w:pPr>
              <w:pStyle w:val="TableContents"/>
              <w:bidi w:val="0"/>
              <w:spacing w:before="0" w:after="283"/>
              <w:jc w:val="left"/>
              <w:rPr/>
            </w:pPr>
            <w:r>
              <w:rPr/>
              <w:t>% </w:t>
            </w:r>
          </w:p>
        </w:tc>
      </w:tr>
      <w:tr>
        <w:trPr/>
        <w:tc>
          <w:tcPr>
            <w:tcW w:w="5702"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EBITDAR margin(1) (% of Revenue)</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25</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27</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-2.0 p.p.</w:t>
            </w:r>
          </w:p>
        </w:tc>
        <w:tc>
          <w:tcPr>
            <w:tcW w:w="526" w:type="dxa"/>
            <w:tcBorders/>
            <w:vAlign w:val="bottom"/>
          </w:tcPr>
          <w:p>
            <w:pPr>
              <w:pStyle w:val="TableContents"/>
              <w:bidi w:val="0"/>
              <w:spacing w:before="0" w:after="283"/>
              <w:jc w:val="left"/>
              <w:rPr/>
            </w:pPr>
            <w:r>
              <w:rPr/>
              <w:t> </w:t>
            </w:r>
          </w:p>
        </w:tc>
      </w:tr>
      <w:tr>
        <w:trPr/>
        <w:tc>
          <w:tcPr>
            <w:tcW w:w="5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income (loss)</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142</w:t>
            </w:r>
          </w:p>
        </w:tc>
        <w:tc>
          <w:tcPr>
            <w:tcW w:w="30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142</w:t>
            </w:r>
          </w:p>
        </w:tc>
        <w:tc>
          <w:tcPr>
            <w:tcW w:w="30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-0.1</w:t>
            </w:r>
          </w:p>
        </w:tc>
        <w:tc>
          <w:tcPr>
            <w:tcW w:w="526" w:type="dxa"/>
            <w:tcBorders/>
            <w:shd w:fill="CCEEFF" w:val="clear"/>
            <w:vAlign w:val="bottom"/>
          </w:tcPr>
          <w:p>
            <w:pPr>
              <w:pStyle w:val="TableContents"/>
              <w:bidi w:val="0"/>
              <w:spacing w:before="0" w:after="283"/>
              <w:jc w:val="left"/>
              <w:rPr/>
            </w:pPr>
            <w:r>
              <w:rPr/>
              <w:t>% </w:t>
            </w:r>
          </w:p>
        </w:tc>
      </w:tr>
      <w:tr>
        <w:trPr/>
        <w:tc>
          <w:tcPr>
            <w:tcW w:w="5702" w:type="dxa"/>
            <w:tcBorders/>
          </w:tcPr>
          <w:p>
            <w:pPr>
              <w:pStyle w:val="TableContents"/>
              <w:bidi w:val="0"/>
              <w:spacing w:before="0" w:after="0"/>
              <w:jc w:val="left"/>
              <w:rPr>
                <w:rFonts w:ascii="Times New Roman" w:hAnsi="Times New Roman"/>
                <w:sz w:val="20"/>
              </w:rPr>
            </w:pPr>
            <w:r>
              <w:rPr>
                <w:rFonts w:ascii="Times New Roman" w:hAnsi="Times New Roman"/>
                <w:sz w:val="20"/>
              </w:rPr>
              <w:t>Operating Margin (% of Revenue)</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11</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12</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-1.4 p.p.</w:t>
            </w:r>
          </w:p>
        </w:tc>
        <w:tc>
          <w:tcPr>
            <w:tcW w:w="526" w:type="dxa"/>
            <w:tcBorders/>
            <w:vAlign w:val="bottom"/>
          </w:tcPr>
          <w:p>
            <w:pPr>
              <w:pStyle w:val="TableContents"/>
              <w:bidi w:val="0"/>
              <w:spacing w:before="0" w:after="283"/>
              <w:jc w:val="left"/>
              <w:rPr/>
            </w:pPr>
            <w:r>
              <w:rPr/>
              <w:t> </w:t>
            </w:r>
          </w:p>
        </w:tc>
      </w:tr>
      <w:tr>
        <w:trPr/>
        <w:tc>
          <w:tcPr>
            <w:tcW w:w="5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11</w:t>
            </w:r>
          </w:p>
        </w:tc>
        <w:tc>
          <w:tcPr>
            <w:tcW w:w="30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22</w:t>
            </w:r>
          </w:p>
        </w:tc>
        <w:tc>
          <w:tcPr>
            <w:tcW w:w="30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-51.0</w:t>
            </w:r>
          </w:p>
        </w:tc>
        <w:tc>
          <w:tcPr>
            <w:tcW w:w="526" w:type="dxa"/>
            <w:tcBorders/>
            <w:shd w:fill="CCEEFF" w:val="clear"/>
            <w:vAlign w:val="bottom"/>
          </w:tcPr>
          <w:p>
            <w:pPr>
              <w:pStyle w:val="TableContents"/>
              <w:bidi w:val="0"/>
              <w:spacing w:before="0" w:after="283"/>
              <w:jc w:val="left"/>
              <w:rPr/>
            </w:pPr>
            <w:r>
              <w:rPr/>
              <w:t>% </w:t>
            </w:r>
          </w:p>
        </w:tc>
      </w:tr>
      <w:tr>
        <w:trPr/>
        <w:tc>
          <w:tcPr>
            <w:tcW w:w="5702"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Margin (% of Revenue)</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-1.1 p.p.</w:t>
            </w:r>
          </w:p>
        </w:tc>
        <w:tc>
          <w:tcPr>
            <w:tcW w:w="526" w:type="dxa"/>
            <w:tcBorders/>
            <w:vAlign w:val="bottom"/>
          </w:tcPr>
          <w:p>
            <w:pPr>
              <w:pStyle w:val="TableContents"/>
              <w:bidi w:val="0"/>
              <w:spacing w:before="0" w:after="283"/>
              <w:jc w:val="left"/>
              <w:rPr/>
            </w:pPr>
            <w:r>
              <w:rPr/>
              <w:t> </w:t>
            </w:r>
          </w:p>
        </w:tc>
      </w:tr>
      <w:tr>
        <w:trPr>
          <w:trHeight w:val="240" w:hRule="atLeast"/>
        </w:trPr>
        <w:tc>
          <w:tcPr>
            <w:tcW w:w="5702" w:type="dxa"/>
            <w:tcBorders/>
            <w:vAlign w:val="center"/>
          </w:tcPr>
          <w:p>
            <w:pPr>
              <w:pStyle w:val="TableContents"/>
              <w:bidi w:val="0"/>
              <w:spacing w:before="0" w:after="283"/>
              <w:jc w:val="left"/>
              <w:rPr>
                <w:sz w:val="4"/>
                <w:szCs w:val="4"/>
              </w:rPr>
            </w:pPr>
            <w:r>
              <w:rPr>
                <w:sz w:val="4"/>
                <w:szCs w:val="4"/>
              </w:rPr>
            </w:r>
          </w:p>
        </w:tc>
        <w:tc>
          <w:tcPr>
            <w:tcW w:w="1458" w:type="dxa"/>
            <w:gridSpan w:val="4"/>
            <w:tcBorders/>
            <w:vAlign w:val="center"/>
          </w:tcPr>
          <w:p>
            <w:pPr>
              <w:pStyle w:val="TableContents"/>
              <w:bidi w:val="0"/>
              <w:spacing w:before="0" w:after="283"/>
              <w:jc w:val="left"/>
              <w:rPr>
                <w:sz w:val="4"/>
                <w:szCs w:val="4"/>
              </w:rPr>
            </w:pPr>
            <w:r>
              <w:rPr>
                <w:sz w:val="4"/>
                <w:szCs w:val="4"/>
              </w:rPr>
            </w:r>
          </w:p>
        </w:tc>
        <w:tc>
          <w:tcPr>
            <w:tcW w:w="1404" w:type="dxa"/>
            <w:gridSpan w:val="4"/>
            <w:tcBorders/>
            <w:vAlign w:val="center"/>
          </w:tcPr>
          <w:p>
            <w:pPr>
              <w:pStyle w:val="TableContents"/>
              <w:bidi w:val="0"/>
              <w:spacing w:before="0" w:after="283"/>
              <w:jc w:val="left"/>
              <w:rPr>
                <w:sz w:val="4"/>
                <w:szCs w:val="4"/>
              </w:rPr>
            </w:pPr>
            <w:r>
              <w:rPr>
                <w:sz w:val="4"/>
                <w:szCs w:val="4"/>
              </w:rPr>
            </w:r>
          </w:p>
        </w:tc>
        <w:tc>
          <w:tcPr>
            <w:tcW w:w="1641" w:type="dxa"/>
            <w:gridSpan w:val="4"/>
            <w:tcBorders/>
            <w:vAlign w:val="center"/>
          </w:tcPr>
          <w:p>
            <w:pPr>
              <w:pStyle w:val="TableContents"/>
              <w:bidi w:val="0"/>
              <w:spacing w:before="0" w:after="283"/>
              <w:jc w:val="left"/>
              <w:rPr>
                <w:sz w:val="4"/>
                <w:szCs w:val="4"/>
              </w:rPr>
            </w:pPr>
            <w:r>
              <w:rPr>
                <w:sz w:val="4"/>
                <w:szCs w:val="4"/>
              </w:rPr>
            </w:r>
          </w:p>
        </w:tc>
      </w:tr>
      <w:tr>
        <w:trPr/>
        <w:tc>
          <w:tcPr>
            <w:tcW w:w="570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Operating Indicators</w:t>
            </w:r>
          </w:p>
        </w:tc>
        <w:tc>
          <w:tcPr>
            <w:tcW w:w="215"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1Q26</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1Q25</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526" w:type="dxa"/>
            <w:tcBorders/>
            <w:vAlign w:val="bottom"/>
          </w:tcPr>
          <w:p>
            <w:pPr>
              <w:pStyle w:val="TableContents"/>
              <w:bidi w:val="0"/>
              <w:spacing w:before="0" w:after="283"/>
              <w:jc w:val="left"/>
              <w:rPr/>
            </w:pPr>
            <w:r>
              <w:rPr/>
              <w:t> </w:t>
            </w:r>
          </w:p>
        </w:tc>
      </w:tr>
      <w:tr>
        <w:trPr/>
        <w:tc>
          <w:tcPr>
            <w:tcW w:w="5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ASMs (millions)</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8,596</w:t>
            </w:r>
          </w:p>
        </w:tc>
        <w:tc>
          <w:tcPr>
            <w:tcW w:w="30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8,697</w:t>
            </w:r>
          </w:p>
        </w:tc>
        <w:tc>
          <w:tcPr>
            <w:tcW w:w="30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(1.2</w:t>
            </w:r>
          </w:p>
        </w:tc>
        <w:tc>
          <w:tcPr>
            <w:tcW w:w="526" w:type="dxa"/>
            <w:tcBorders/>
            <w:shd w:fill="CCEEFF" w:val="clear"/>
            <w:vAlign w:val="bottom"/>
          </w:tcPr>
          <w:p>
            <w:pPr>
              <w:pStyle w:val="TableContents"/>
              <w:bidi w:val="0"/>
              <w:spacing w:before="0" w:after="283"/>
              <w:jc w:val="left"/>
              <w:rPr/>
            </w:pPr>
            <w:r>
              <w:rPr/>
              <w:t>)% </w:t>
            </w:r>
          </w:p>
        </w:tc>
      </w:tr>
      <w:tr>
        <w:trPr/>
        <w:tc>
          <w:tcPr>
            <w:tcW w:w="5702" w:type="dxa"/>
            <w:tcBorders/>
          </w:tcPr>
          <w:p>
            <w:pPr>
              <w:pStyle w:val="TableContents"/>
              <w:bidi w:val="0"/>
              <w:spacing w:before="0" w:after="0"/>
              <w:jc w:val="left"/>
              <w:rPr>
                <w:rFonts w:ascii="Times New Roman" w:hAnsi="Times New Roman"/>
                <w:sz w:val="20"/>
              </w:rPr>
            </w:pPr>
            <w:r>
              <w:rPr>
                <w:rFonts w:ascii="Times New Roman" w:hAnsi="Times New Roman"/>
                <w:sz w:val="20"/>
              </w:rPr>
              <w:t>Total RPMs (millions)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7,255</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7,158</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1.4</w:t>
            </w:r>
          </w:p>
        </w:tc>
        <w:tc>
          <w:tcPr>
            <w:tcW w:w="526" w:type="dxa"/>
            <w:tcBorders/>
            <w:vAlign w:val="bottom"/>
          </w:tcPr>
          <w:p>
            <w:pPr>
              <w:pStyle w:val="TableContents"/>
              <w:bidi w:val="0"/>
              <w:spacing w:before="0" w:after="283"/>
              <w:jc w:val="left"/>
              <w:rPr/>
            </w:pPr>
            <w:r>
              <w:rPr/>
              <w:t>% </w:t>
            </w:r>
          </w:p>
        </w:tc>
      </w:tr>
      <w:tr>
        <w:trPr/>
        <w:tc>
          <w:tcPr>
            <w:tcW w:w="5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Load factor on scheduled flights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84.4</w:t>
            </w:r>
          </w:p>
        </w:tc>
        <w:tc>
          <w:tcPr>
            <w:tcW w:w="30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82.3</w:t>
            </w:r>
          </w:p>
        </w:tc>
        <w:tc>
          <w:tcPr>
            <w:tcW w:w="30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2.1 p.p</w:t>
            </w:r>
          </w:p>
        </w:tc>
        <w:tc>
          <w:tcPr>
            <w:tcW w:w="526" w:type="dxa"/>
            <w:tcBorders/>
            <w:shd w:fill="CCEEFF" w:val="clear"/>
            <w:vAlign w:val="bottom"/>
          </w:tcPr>
          <w:p>
            <w:pPr>
              <w:pStyle w:val="TableContents"/>
              <w:bidi w:val="0"/>
              <w:spacing w:before="0" w:after="283"/>
              <w:jc w:val="left"/>
              <w:rPr/>
            </w:pPr>
            <w:r>
              <w:rPr/>
              <w:t> </w:t>
            </w:r>
          </w:p>
        </w:tc>
      </w:tr>
      <w:tr>
        <w:trPr/>
        <w:tc>
          <w:tcPr>
            <w:tcW w:w="5702" w:type="dxa"/>
            <w:tcBorders/>
          </w:tcPr>
          <w:p>
            <w:pPr>
              <w:pStyle w:val="TableContents"/>
              <w:bidi w:val="0"/>
              <w:spacing w:before="0" w:after="0"/>
              <w:jc w:val="left"/>
              <w:rPr>
                <w:rFonts w:ascii="Times New Roman" w:hAnsi="Times New Roman"/>
                <w:sz w:val="20"/>
              </w:rPr>
            </w:pPr>
            <w:r>
              <w:rPr>
                <w:rFonts w:ascii="Times New Roman" w:hAnsi="Times New Roman"/>
                <w:sz w:val="20"/>
              </w:rPr>
              <w:t>Passengers (‘000)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5,791</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5,877</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(1.5</w:t>
            </w:r>
          </w:p>
        </w:tc>
        <w:tc>
          <w:tcPr>
            <w:tcW w:w="526" w:type="dxa"/>
            <w:tcBorders/>
            <w:vAlign w:val="bottom"/>
          </w:tcPr>
          <w:p>
            <w:pPr>
              <w:pStyle w:val="TableContents"/>
              <w:bidi w:val="0"/>
              <w:spacing w:before="0" w:after="283"/>
              <w:jc w:val="left"/>
              <w:rPr/>
            </w:pPr>
            <w:r>
              <w:rPr/>
              <w:t>)% </w:t>
            </w:r>
          </w:p>
        </w:tc>
      </w:tr>
      <w:tr>
        <w:trPr/>
        <w:tc>
          <w:tcPr>
            <w:tcW w:w="5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On-Time departure performance within 15 minutes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91.7</w:t>
            </w:r>
          </w:p>
        </w:tc>
        <w:tc>
          <w:tcPr>
            <w:tcW w:w="30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92.7</w:t>
            </w:r>
          </w:p>
        </w:tc>
        <w:tc>
          <w:tcPr>
            <w:tcW w:w="30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(1.0</w:t>
            </w:r>
          </w:p>
        </w:tc>
        <w:tc>
          <w:tcPr>
            <w:tcW w:w="526" w:type="dxa"/>
            <w:tcBorders/>
            <w:shd w:fill="CCEEFF" w:val="clear"/>
            <w:vAlign w:val="bottom"/>
          </w:tcPr>
          <w:p>
            <w:pPr>
              <w:pStyle w:val="TableContents"/>
              <w:bidi w:val="0"/>
              <w:spacing w:before="0" w:after="283"/>
              <w:jc w:val="left"/>
              <w:rPr/>
            </w:pPr>
            <w:r>
              <w:rPr/>
              <w:t>) p.p </w:t>
            </w:r>
          </w:p>
        </w:tc>
      </w:tr>
      <w:tr>
        <w:trPr/>
        <w:tc>
          <w:tcPr>
            <w:tcW w:w="5702" w:type="dxa"/>
            <w:tcBorders/>
          </w:tcPr>
          <w:p>
            <w:pPr>
              <w:pStyle w:val="TableContents"/>
              <w:bidi w:val="0"/>
              <w:spacing w:before="0" w:after="0"/>
              <w:jc w:val="left"/>
              <w:rPr>
                <w:rFonts w:ascii="Times New Roman" w:hAnsi="Times New Roman"/>
                <w:sz w:val="20"/>
              </w:rPr>
            </w:pPr>
            <w:r>
              <w:rPr>
                <w:rFonts w:ascii="Times New Roman" w:hAnsi="Times New Roman"/>
                <w:sz w:val="20"/>
              </w:rPr>
              <w:t>Total liters of fuel (‘000)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410,974</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421,858</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(2.6</w:t>
            </w:r>
          </w:p>
        </w:tc>
        <w:tc>
          <w:tcPr>
            <w:tcW w:w="526" w:type="dxa"/>
            <w:tcBorders/>
            <w:vAlign w:val="bottom"/>
          </w:tcPr>
          <w:p>
            <w:pPr>
              <w:pStyle w:val="TableContents"/>
              <w:bidi w:val="0"/>
              <w:spacing w:before="0" w:after="283"/>
              <w:jc w:val="left"/>
              <w:rPr/>
            </w:pPr>
            <w:r>
              <w:rPr/>
              <w:t>)% </w:t>
            </w:r>
          </w:p>
        </w:tc>
      </w:tr>
      <w:tr>
        <w:trPr/>
        <w:tc>
          <w:tcPr>
            <w:tcW w:w="5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Yield (USD cents) (2)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9.0</w:t>
            </w:r>
          </w:p>
        </w:tc>
        <w:tc>
          <w:tcPr>
            <w:tcW w:w="30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8.3</w:t>
            </w:r>
          </w:p>
        </w:tc>
        <w:tc>
          <w:tcPr>
            <w:tcW w:w="30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8.7</w:t>
            </w:r>
          </w:p>
        </w:tc>
        <w:tc>
          <w:tcPr>
            <w:tcW w:w="526" w:type="dxa"/>
            <w:tcBorders/>
            <w:shd w:fill="CCEEFF" w:val="clear"/>
            <w:vAlign w:val="bottom"/>
          </w:tcPr>
          <w:p>
            <w:pPr>
              <w:pStyle w:val="TableContents"/>
              <w:bidi w:val="0"/>
              <w:spacing w:before="0" w:after="283"/>
              <w:jc w:val="left"/>
              <w:rPr/>
            </w:pPr>
            <w:r>
              <w:rPr/>
              <w:t>% </w:t>
            </w:r>
          </w:p>
        </w:tc>
      </w:tr>
      <w:tr>
        <w:trPr/>
        <w:tc>
          <w:tcPr>
            <w:tcW w:w="5702"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 / ASM (USD cents)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15.6</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13.6</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14.6</w:t>
            </w:r>
          </w:p>
        </w:tc>
        <w:tc>
          <w:tcPr>
            <w:tcW w:w="526" w:type="dxa"/>
            <w:tcBorders/>
            <w:vAlign w:val="bottom"/>
          </w:tcPr>
          <w:p>
            <w:pPr>
              <w:pStyle w:val="TableContents"/>
              <w:bidi w:val="0"/>
              <w:spacing w:before="0" w:after="283"/>
              <w:jc w:val="left"/>
              <w:rPr/>
            </w:pPr>
            <w:r>
              <w:rPr/>
              <w:t>% </w:t>
            </w:r>
          </w:p>
        </w:tc>
      </w:tr>
      <w:tr>
        <w:trPr/>
        <w:tc>
          <w:tcPr>
            <w:tcW w:w="5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Passenger revenue / ASM (USD cents)(2)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12.2</w:t>
            </w:r>
          </w:p>
        </w:tc>
        <w:tc>
          <w:tcPr>
            <w:tcW w:w="30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11.0</w:t>
            </w:r>
          </w:p>
        </w:tc>
        <w:tc>
          <w:tcPr>
            <w:tcW w:w="30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11.4</w:t>
            </w:r>
          </w:p>
        </w:tc>
        <w:tc>
          <w:tcPr>
            <w:tcW w:w="526" w:type="dxa"/>
            <w:tcBorders/>
            <w:shd w:fill="CCEEFF" w:val="clear"/>
            <w:vAlign w:val="bottom"/>
          </w:tcPr>
          <w:p>
            <w:pPr>
              <w:pStyle w:val="TableContents"/>
              <w:bidi w:val="0"/>
              <w:spacing w:before="0" w:after="283"/>
              <w:jc w:val="left"/>
              <w:rPr/>
            </w:pPr>
            <w:r>
              <w:rPr/>
              <w:t>% </w:t>
            </w:r>
          </w:p>
        </w:tc>
      </w:tr>
      <w:tr>
        <w:trPr/>
        <w:tc>
          <w:tcPr>
            <w:tcW w:w="5702" w:type="dxa"/>
            <w:tcBorders/>
          </w:tcPr>
          <w:p>
            <w:pPr>
              <w:pStyle w:val="TableContents"/>
              <w:bidi w:val="0"/>
              <w:spacing w:before="0" w:after="0"/>
              <w:jc w:val="left"/>
              <w:rPr>
                <w:rFonts w:ascii="Times New Roman" w:hAnsi="Times New Roman"/>
                <w:sz w:val="20"/>
              </w:rPr>
            </w:pPr>
            <w:r>
              <w:rPr>
                <w:rFonts w:ascii="Times New Roman" w:hAnsi="Times New Roman"/>
                <w:sz w:val="20"/>
              </w:rPr>
              <w:t>Total cost / ASM (USD cents)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13.8</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11.9</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16.0</w:t>
            </w:r>
          </w:p>
        </w:tc>
        <w:tc>
          <w:tcPr>
            <w:tcW w:w="526" w:type="dxa"/>
            <w:tcBorders/>
            <w:vAlign w:val="bottom"/>
          </w:tcPr>
          <w:p>
            <w:pPr>
              <w:pStyle w:val="TableContents"/>
              <w:bidi w:val="0"/>
              <w:spacing w:before="0" w:after="283"/>
              <w:jc w:val="left"/>
              <w:rPr/>
            </w:pPr>
            <w:r>
              <w:rPr/>
              <w:t>% </w:t>
            </w:r>
          </w:p>
        </w:tc>
      </w:tr>
      <w:tr>
        <w:trPr/>
        <w:tc>
          <w:tcPr>
            <w:tcW w:w="5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 excluding fuel / ASM (USD cents)</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10.2</w:t>
            </w:r>
          </w:p>
        </w:tc>
        <w:tc>
          <w:tcPr>
            <w:tcW w:w="30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8.6</w:t>
            </w:r>
          </w:p>
        </w:tc>
        <w:tc>
          <w:tcPr>
            <w:tcW w:w="30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17.8</w:t>
            </w:r>
          </w:p>
        </w:tc>
        <w:tc>
          <w:tcPr>
            <w:tcW w:w="526" w:type="dxa"/>
            <w:tcBorders/>
            <w:shd w:fill="CCEEFF" w:val="clear"/>
            <w:vAlign w:val="bottom"/>
          </w:tcPr>
          <w:p>
            <w:pPr>
              <w:pStyle w:val="TableContents"/>
              <w:bidi w:val="0"/>
              <w:spacing w:before="0" w:after="283"/>
              <w:jc w:val="left"/>
              <w:rPr/>
            </w:pPr>
            <w:r>
              <w:rPr/>
              <w:t>% </w:t>
            </w:r>
          </w:p>
        </w:tc>
      </w:tr>
      <w:tr>
        <w:trPr>
          <w:trHeight w:val="240" w:hRule="atLeast"/>
        </w:trPr>
        <w:tc>
          <w:tcPr>
            <w:tcW w:w="5702" w:type="dxa"/>
            <w:tcBorders/>
            <w:vAlign w:val="center"/>
          </w:tcPr>
          <w:p>
            <w:pPr>
              <w:pStyle w:val="TableContents"/>
              <w:bidi w:val="0"/>
              <w:spacing w:before="0" w:after="283"/>
              <w:jc w:val="left"/>
              <w:rPr>
                <w:sz w:val="4"/>
                <w:szCs w:val="4"/>
              </w:rPr>
            </w:pPr>
            <w:r>
              <w:rPr>
                <w:sz w:val="4"/>
                <w:szCs w:val="4"/>
              </w:rPr>
            </w:r>
          </w:p>
        </w:tc>
        <w:tc>
          <w:tcPr>
            <w:tcW w:w="1458" w:type="dxa"/>
            <w:gridSpan w:val="4"/>
            <w:tcBorders/>
            <w:vAlign w:val="center"/>
          </w:tcPr>
          <w:p>
            <w:pPr>
              <w:pStyle w:val="TableContents"/>
              <w:bidi w:val="0"/>
              <w:spacing w:before="0" w:after="283"/>
              <w:jc w:val="left"/>
              <w:rPr>
                <w:sz w:val="4"/>
                <w:szCs w:val="4"/>
              </w:rPr>
            </w:pPr>
            <w:r>
              <w:rPr>
                <w:sz w:val="4"/>
                <w:szCs w:val="4"/>
              </w:rPr>
            </w:r>
          </w:p>
        </w:tc>
        <w:tc>
          <w:tcPr>
            <w:tcW w:w="1404" w:type="dxa"/>
            <w:gridSpan w:val="4"/>
            <w:tcBorders/>
            <w:vAlign w:val="center"/>
          </w:tcPr>
          <w:p>
            <w:pPr>
              <w:pStyle w:val="TableContents"/>
              <w:bidi w:val="0"/>
              <w:spacing w:before="0" w:after="283"/>
              <w:jc w:val="left"/>
              <w:rPr>
                <w:sz w:val="4"/>
                <w:szCs w:val="4"/>
              </w:rPr>
            </w:pPr>
            <w:r>
              <w:rPr>
                <w:sz w:val="4"/>
                <w:szCs w:val="4"/>
              </w:rPr>
            </w:r>
          </w:p>
        </w:tc>
        <w:tc>
          <w:tcPr>
            <w:tcW w:w="1641" w:type="dxa"/>
            <w:gridSpan w:val="4"/>
            <w:tcBorders/>
            <w:vAlign w:val="center"/>
          </w:tcPr>
          <w:p>
            <w:pPr>
              <w:pStyle w:val="TableContents"/>
              <w:bidi w:val="0"/>
              <w:spacing w:before="0" w:after="283"/>
              <w:jc w:val="left"/>
              <w:rPr>
                <w:sz w:val="4"/>
                <w:szCs w:val="4"/>
              </w:rPr>
            </w:pPr>
            <w:r>
              <w:rPr>
                <w:sz w:val="4"/>
                <w:szCs w:val="4"/>
              </w:rPr>
            </w:r>
          </w:p>
        </w:tc>
      </w:tr>
      <w:tr>
        <w:trPr/>
        <w:tc>
          <w:tcPr>
            <w:tcW w:w="570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Other Indicators</w:t>
            </w:r>
          </w:p>
        </w:tc>
        <w:tc>
          <w:tcPr>
            <w:tcW w:w="215"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1Q26</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1Q25</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526" w:type="dxa"/>
            <w:tcBorders/>
            <w:vAlign w:val="bottom"/>
          </w:tcPr>
          <w:p>
            <w:pPr>
              <w:pStyle w:val="TableContents"/>
              <w:bidi w:val="0"/>
              <w:spacing w:before="0" w:after="283"/>
              <w:jc w:val="left"/>
              <w:rPr/>
            </w:pPr>
            <w:r>
              <w:rPr/>
              <w:t> </w:t>
            </w:r>
          </w:p>
        </w:tc>
      </w:tr>
      <w:tr>
        <w:trPr/>
        <w:tc>
          <w:tcPr>
            <w:tcW w:w="5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Fuel cost per liter (USD cents)</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77</w:t>
            </w:r>
          </w:p>
        </w:tc>
        <w:tc>
          <w:tcPr>
            <w:tcW w:w="30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68</w:t>
            </w:r>
          </w:p>
        </w:tc>
        <w:tc>
          <w:tcPr>
            <w:tcW w:w="30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13.1</w:t>
            </w:r>
          </w:p>
        </w:tc>
        <w:tc>
          <w:tcPr>
            <w:tcW w:w="526" w:type="dxa"/>
            <w:tcBorders/>
            <w:shd w:fill="CCEEFF" w:val="clear"/>
            <w:vAlign w:val="bottom"/>
          </w:tcPr>
          <w:p>
            <w:pPr>
              <w:pStyle w:val="TableContents"/>
              <w:bidi w:val="0"/>
              <w:spacing w:before="0" w:after="283"/>
              <w:jc w:val="left"/>
              <w:rPr/>
            </w:pPr>
            <w:r>
              <w:rPr/>
              <w:t>% </w:t>
            </w:r>
          </w:p>
        </w:tc>
      </w:tr>
      <w:tr>
        <w:trPr/>
        <w:tc>
          <w:tcPr>
            <w:tcW w:w="5702" w:type="dxa"/>
            <w:tcBorders/>
          </w:tcPr>
          <w:p>
            <w:pPr>
              <w:pStyle w:val="TableContents"/>
              <w:bidi w:val="0"/>
              <w:spacing w:before="0" w:after="0"/>
              <w:jc w:val="left"/>
              <w:rPr>
                <w:rFonts w:ascii="Times New Roman" w:hAnsi="Times New Roman"/>
                <w:sz w:val="20"/>
              </w:rPr>
            </w:pPr>
            <w:r>
              <w:rPr>
                <w:rFonts w:ascii="Times New Roman" w:hAnsi="Times New Roman"/>
                <w:sz w:val="20"/>
              </w:rPr>
              <w:t>FX close(3)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18.07</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20.32</w:t>
            </w:r>
          </w:p>
        </w:tc>
        <w:tc>
          <w:tcPr>
            <w:tcW w:w="30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(11.1</w:t>
            </w:r>
          </w:p>
        </w:tc>
        <w:tc>
          <w:tcPr>
            <w:tcW w:w="526" w:type="dxa"/>
            <w:tcBorders/>
            <w:vAlign w:val="bottom"/>
          </w:tcPr>
          <w:p>
            <w:pPr>
              <w:pStyle w:val="TableContents"/>
              <w:bidi w:val="0"/>
              <w:spacing w:before="0" w:after="283"/>
              <w:jc w:val="left"/>
              <w:rPr/>
            </w:pPr>
            <w:r>
              <w:rPr/>
              <w:t>%) </w:t>
            </w:r>
          </w:p>
        </w:tc>
      </w:tr>
      <w:tr>
        <w:trPr/>
        <w:tc>
          <w:tcPr>
            <w:tcW w:w="5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FX average(3)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17.58</w:t>
            </w:r>
          </w:p>
        </w:tc>
        <w:tc>
          <w:tcPr>
            <w:tcW w:w="30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20.43</w:t>
            </w:r>
          </w:p>
        </w:tc>
        <w:tc>
          <w:tcPr>
            <w:tcW w:w="30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(14.0</w:t>
            </w:r>
          </w:p>
        </w:tc>
        <w:tc>
          <w:tcPr>
            <w:tcW w:w="526"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Figures may not sum to total due to rounding.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EBITDAR and Adjusted EBITDAR margin are non-IFRS measures and have limitations as analytical tools, and you should not consider them in isolation, or as a substitute for analysis of the Company’s results as reported under IFRS. See Annex A for the definition of Aeroméxico’s non-IFRS measures and a reconciliation to the nearest IFRS measure.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as passenger revenues (excluding ancillaries) divided by total RPMs.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Source: Company with information from Banxico.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4067175" cy="4857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067175" cy="485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A on Non-IFRS Financial Measures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disclosing financial results prepared in accordance with IFRS, the Company discloses information regarding Adjusted EBITDAR, Adjusted EBITDAR Margin, Adjusted Net Debt and Net Leverage Ratio, which are non-IFRS measures. The Company believes that these measures are useful indicators of its operational performance. These known performance measurements in the aviation industry are frequently used by investors, stock analysts and others who are interested in comparing the operational performance of companies in its industry. </w:t>
      </w:r>
    </w:p>
    <w:p>
      <w:pPr>
        <w:pStyle w:val="TextBody"/>
        <w:bidi w:val="0"/>
        <w:spacing w:before="240" w:after="0"/>
        <w:jc w:val="left"/>
        <w:rPr>
          <w:rFonts w:ascii="Times New Roman" w:hAnsi="Times New Roman"/>
          <w:sz w:val="20"/>
        </w:rPr>
      </w:pPr>
      <w:r>
        <w:rPr>
          <w:rFonts w:ascii="Times New Roman" w:hAnsi="Times New Roman"/>
          <w:sz w:val="20"/>
        </w:rPr>
        <w:t xml:space="preserve">The Company defines Adjusted EBITDAR as profit or loss for the period before income tax expense (benefit), depreciation and amortization, net finance cost, and impairment (reversal), before aircraft leasing expense, in light of the non-recurring nature of this item. The Company considers Adjusted EBITDAR to be solely a valuation metric, not a performance metric. The Company defines Adjusted EBITDAR Margin as Adjusted EBITDAR divided by total revenue for the period. The Company defines Adjusted Net Debt as total loan and borrowings, including leases, minus cash and cash equivalents. The Company defines Net Leverage Ratio as Adjusted Net Debt Ratio divided by Adjusted EBITDAR for the period. </w:t>
      </w:r>
    </w:p>
    <w:p>
      <w:pPr>
        <w:pStyle w:val="TextBody"/>
        <w:bidi w:val="0"/>
        <w:spacing w:before="240" w:after="0"/>
        <w:jc w:val="left"/>
        <w:rPr>
          <w:rFonts w:ascii="Times New Roman" w:hAnsi="Times New Roman"/>
          <w:sz w:val="20"/>
        </w:rPr>
      </w:pPr>
      <w:r>
        <w:rPr>
          <w:rFonts w:ascii="Times New Roman" w:hAnsi="Times New Roman"/>
          <w:sz w:val="20"/>
        </w:rPr>
        <w:t xml:space="preserve">All of the above-mentioned non-IFRS financial measures have limitations as analytical tools, and you should not consider them in isolation, or as a substitute for analysis of the Company’s results as reported under IFRS. Some of these limitations are: (i) they do not reflect the Company’s cash expenditures, or future requirements for capital expenditures or contractual commitments; (ii) they do not reflect changes in, or cash requirements for, its working capital needs; (iii) they do not reflect the Company’s cash requirements necessary to service interest or principal payments on the Company’s debt; (iv) although depreciation and amortization are non-cash charges, the assets being depreciated and amortized will often have to be replaced in the future, and they do not reflect any cash requirements for such replacements; (v) they do not adjust for all non-cash income or expense items that are reflected in the Company’s consolidated statements of profit or loss and other comprehensive income; (vi) they do not reflect the impact of all non-recurring items; and (vii) other companies in the Company’s industry may calculate these measures, or similarly titled measures, differently than the Company does, limiting their usefulness as comparative measures. </w:t>
      </w:r>
    </w:p>
    <w:p>
      <w:pPr>
        <w:pStyle w:val="TextBody"/>
        <w:bidi w:val="0"/>
        <w:spacing w:before="240" w:after="0"/>
        <w:jc w:val="left"/>
        <w:rPr>
          <w:rFonts w:ascii="Times New Roman" w:hAnsi="Times New Roman"/>
          <w:sz w:val="20"/>
        </w:rPr>
      </w:pPr>
      <w:r>
        <w:rPr>
          <w:rFonts w:ascii="Times New Roman" w:hAnsi="Times New Roman"/>
          <w:sz w:val="20"/>
        </w:rPr>
        <w:t xml:space="preserve">Reconciliations of each of these historical measures, and to the extent applicable, forward-looking measures to the most directly comparable IFRS measure are below. No reconciliation of the forecasted amounts of Adjusted EBITDAR Margin, as incrementally adjusted, and revenue, as incrementally adjusted, for fiscal 2026 is included in this release because we are unable to quantify certain amounts that would be required to be included in the corresponding IFRS measure without unreasonable efforts, due to high variability and complexity with respect to estimating certain forward-looking amounts, and we believe such reconciliation would imply a degree of precision that would be confusing or misleading to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4067175" cy="4857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067175" cy="485775"/>
                    </a:xfrm>
                    <a:prstGeom prst="rect">
                      <a:avLst/>
                    </a:prstGeom>
                  </pic:spPr>
                </pic:pic>
              </a:graphicData>
            </a:graphic>
          </wp:inline>
        </w:drawing>
      </w:r>
      <w:r>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963"/>
        <w:gridCol w:w="196"/>
        <w:gridCol w:w="76"/>
        <w:gridCol w:w="494"/>
        <w:gridCol w:w="60"/>
        <w:gridCol w:w="196"/>
        <w:gridCol w:w="76"/>
        <w:gridCol w:w="494"/>
        <w:gridCol w:w="60"/>
        <w:gridCol w:w="196"/>
        <w:gridCol w:w="81"/>
        <w:gridCol w:w="721"/>
        <w:gridCol w:w="326"/>
      </w:tblGrid>
      <w:tr>
        <w:trPr/>
        <w:tc>
          <w:tcPr>
            <w:tcW w:w="3963"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3963"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Adjusted EBITDAR Reconciliation</w:t>
            </w:r>
          </w:p>
        </w:tc>
        <w:tc>
          <w:tcPr>
            <w:tcW w:w="196" w:type="dxa"/>
            <w:tcBorders/>
            <w:vAlign w:val="bottom"/>
          </w:tcPr>
          <w:p>
            <w:pPr>
              <w:pStyle w:val="TableContents"/>
              <w:bidi w:val="0"/>
              <w:spacing w:before="0" w:after="283"/>
              <w:jc w:val="left"/>
              <w:rPr/>
            </w:pPr>
            <w:r>
              <w:rPr/>
              <w:t>  </w:t>
            </w:r>
          </w:p>
        </w:tc>
        <w:tc>
          <w:tcPr>
            <w:tcW w:w="245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326" w:type="dxa"/>
            <w:tcBorders/>
            <w:vAlign w:val="bottom"/>
          </w:tcPr>
          <w:p>
            <w:pPr>
              <w:pStyle w:val="TableContents"/>
              <w:bidi w:val="0"/>
              <w:spacing w:before="0" w:after="283"/>
              <w:jc w:val="left"/>
              <w:rPr/>
            </w:pPr>
            <w:r>
              <w:rPr/>
              <w:t> </w:t>
            </w:r>
          </w:p>
        </w:tc>
      </w:tr>
      <w:tr>
        <w:trPr/>
        <w:tc>
          <w:tcPr>
            <w:tcW w:w="3963" w:type="dxa"/>
            <w:vMerge w:val="continue"/>
            <w:tcBorders/>
            <w:vAlign w:val="bottom"/>
          </w:tcPr>
          <w:p>
            <w:pPr>
              <w:pStyle w:val="Normal"/>
              <w:bidi w:val="0"/>
              <w:jc w:val="left"/>
              <w:rPr/>
            </w:pPr>
            <w:r>
              <w:rPr/>
            </w:r>
          </w:p>
        </w:tc>
        <w:tc>
          <w:tcPr>
            <w:tcW w:w="196" w:type="dxa"/>
            <w:tcBorders/>
            <w:vAlign w:val="bottom"/>
          </w:tcPr>
          <w:p>
            <w:pPr>
              <w:pStyle w:val="TableContents"/>
              <w:bidi w:val="0"/>
              <w:spacing w:before="0" w:after="283"/>
              <w:jc w:val="left"/>
              <w:rPr/>
            </w:pPr>
            <w:r>
              <w:rPr/>
              <w:t>  </w:t>
            </w:r>
          </w:p>
        </w:tc>
        <w:tc>
          <w:tcPr>
            <w:tcW w:w="5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1Q26</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5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1Q25</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326" w:type="dxa"/>
            <w:tcBorders/>
            <w:vAlign w:val="bottom"/>
          </w:tcPr>
          <w:p>
            <w:pPr>
              <w:pStyle w:val="TableContents"/>
              <w:bidi w:val="0"/>
              <w:spacing w:before="0" w:after="283"/>
              <w:jc w:val="left"/>
              <w:rPr/>
            </w:pPr>
            <w:r>
              <w:rPr/>
              <w:t> </w:t>
            </w:r>
          </w:p>
        </w:tc>
      </w:tr>
      <w:tr>
        <w:trPr/>
        <w:tc>
          <w:tcPr>
            <w:tcW w:w="39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Profit (loss) for the period</w:t>
            </w:r>
          </w:p>
        </w:tc>
        <w:tc>
          <w:tcPr>
            <w:tcW w:w="19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right"/>
              <w:rPr/>
            </w:pPr>
            <w:r>
              <w:rPr/>
              <w:t>22</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-51.0</w:t>
            </w:r>
          </w:p>
        </w:tc>
        <w:tc>
          <w:tcPr>
            <w:tcW w:w="326" w:type="dxa"/>
            <w:tcBorders/>
            <w:shd w:fill="CCEEFF" w:val="clear"/>
            <w:vAlign w:val="bottom"/>
          </w:tcPr>
          <w:p>
            <w:pPr>
              <w:pStyle w:val="TableContents"/>
              <w:bidi w:val="0"/>
              <w:spacing w:before="0" w:after="283"/>
              <w:jc w:val="left"/>
              <w:rPr/>
            </w:pPr>
            <w:r>
              <w:rPr/>
              <w:t>% </w:t>
            </w:r>
          </w:p>
        </w:tc>
      </w:tr>
      <w:tr>
        <w:trPr/>
        <w:tc>
          <w:tcPr>
            <w:tcW w:w="3963" w:type="dxa"/>
            <w:tcBorders/>
          </w:tcPr>
          <w:p>
            <w:pPr>
              <w:pStyle w:val="TableContents"/>
              <w:bidi w:val="0"/>
              <w:spacing w:before="0" w:after="0"/>
              <w:jc w:val="left"/>
              <w:rPr>
                <w:rFonts w:ascii="Times New Roman" w:hAnsi="Times New Roman"/>
                <w:sz w:val="20"/>
              </w:rPr>
            </w:pPr>
            <w:r>
              <w:rPr>
                <w:rFonts w:ascii="Times New Roman" w:hAnsi="Times New Roman"/>
                <w:sz w:val="20"/>
              </w:rPr>
              <w:t>(+) Income tax expense (benefit)</w:t>
            </w:r>
          </w:p>
        </w:tc>
        <w:tc>
          <w:tcPr>
            <w:tcW w:w="19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-65.9</w:t>
            </w:r>
          </w:p>
        </w:tc>
        <w:tc>
          <w:tcPr>
            <w:tcW w:w="326" w:type="dxa"/>
            <w:tcBorders/>
            <w:vAlign w:val="bottom"/>
          </w:tcPr>
          <w:p>
            <w:pPr>
              <w:pStyle w:val="TableContents"/>
              <w:bidi w:val="0"/>
              <w:spacing w:before="0" w:after="283"/>
              <w:jc w:val="left"/>
              <w:rPr/>
            </w:pPr>
            <w:r>
              <w:rPr/>
              <w:t>% </w:t>
            </w:r>
          </w:p>
        </w:tc>
      </w:tr>
      <w:tr>
        <w:trPr/>
        <w:tc>
          <w:tcPr>
            <w:tcW w:w="39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 Depreciation and amortization (1) </w:t>
            </w:r>
          </w:p>
        </w:tc>
        <w:tc>
          <w:tcPr>
            <w:tcW w:w="19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right"/>
              <w:rPr/>
            </w:pPr>
            <w:r>
              <w:rPr/>
              <w:t>190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right"/>
              <w:rPr/>
            </w:pPr>
            <w:r>
              <w:rPr/>
              <w:t>173</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9.7</w:t>
            </w:r>
          </w:p>
        </w:tc>
        <w:tc>
          <w:tcPr>
            <w:tcW w:w="326" w:type="dxa"/>
            <w:tcBorders/>
            <w:shd w:fill="CCEEFF" w:val="clear"/>
            <w:vAlign w:val="bottom"/>
          </w:tcPr>
          <w:p>
            <w:pPr>
              <w:pStyle w:val="TableContents"/>
              <w:bidi w:val="0"/>
              <w:spacing w:before="0" w:after="283"/>
              <w:jc w:val="left"/>
              <w:rPr/>
            </w:pPr>
            <w:r>
              <w:rPr/>
              <w:t>% </w:t>
            </w:r>
          </w:p>
        </w:tc>
      </w:tr>
      <w:tr>
        <w:trPr/>
        <w:tc>
          <w:tcPr>
            <w:tcW w:w="3963" w:type="dxa"/>
            <w:tcBorders/>
          </w:tcPr>
          <w:p>
            <w:pPr>
              <w:pStyle w:val="TableContents"/>
              <w:bidi w:val="0"/>
              <w:spacing w:before="0" w:after="0"/>
              <w:jc w:val="left"/>
              <w:rPr>
                <w:rFonts w:ascii="Times New Roman" w:hAnsi="Times New Roman"/>
                <w:sz w:val="20"/>
              </w:rPr>
            </w:pPr>
            <w:r>
              <w:rPr>
                <w:rFonts w:ascii="Times New Roman" w:hAnsi="Times New Roman"/>
                <w:sz w:val="20"/>
              </w:rPr>
              <w:t>(+) Net finance cost</w:t>
            </w:r>
          </w:p>
        </w:tc>
        <w:tc>
          <w:tcPr>
            <w:tcW w:w="19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right"/>
              <w:rPr/>
            </w:pPr>
            <w:r>
              <w:rPr/>
              <w:t>129</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right"/>
              <w:rPr/>
            </w:pPr>
            <w:r>
              <w:rPr/>
              <w:t>115</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12.7</w:t>
            </w:r>
          </w:p>
        </w:tc>
        <w:tc>
          <w:tcPr>
            <w:tcW w:w="326" w:type="dxa"/>
            <w:tcBorders/>
            <w:vAlign w:val="bottom"/>
          </w:tcPr>
          <w:p>
            <w:pPr>
              <w:pStyle w:val="TableContents"/>
              <w:bidi w:val="0"/>
              <w:spacing w:before="0" w:after="283"/>
              <w:jc w:val="left"/>
              <w:rPr/>
            </w:pPr>
            <w:r>
              <w:rPr/>
              <w:t>% </w:t>
            </w:r>
          </w:p>
        </w:tc>
      </w:tr>
      <w:tr>
        <w:trPr/>
        <w:tc>
          <w:tcPr>
            <w:tcW w:w="39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Impairment (reversal)</w:t>
            </w:r>
          </w:p>
        </w:tc>
        <w:tc>
          <w:tcPr>
            <w:tcW w:w="19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NA</w:t>
            </w:r>
          </w:p>
        </w:tc>
        <w:tc>
          <w:tcPr>
            <w:tcW w:w="326" w:type="dxa"/>
            <w:tcBorders/>
            <w:shd w:fill="CCEEFF" w:val="clear"/>
            <w:vAlign w:val="bottom"/>
          </w:tcPr>
          <w:p>
            <w:pPr>
              <w:pStyle w:val="TableContents"/>
              <w:bidi w:val="0"/>
              <w:spacing w:before="0" w:after="283"/>
              <w:jc w:val="left"/>
              <w:rPr/>
            </w:pPr>
            <w:r>
              <w:rPr/>
              <w:t> </w:t>
            </w:r>
          </w:p>
        </w:tc>
      </w:tr>
      <w:tr>
        <w:trPr/>
        <w:tc>
          <w:tcPr>
            <w:tcW w:w="3963" w:type="dxa"/>
            <w:tcBorders/>
          </w:tcPr>
          <w:p>
            <w:pPr>
              <w:pStyle w:val="TableContents"/>
              <w:bidi w:val="0"/>
              <w:spacing w:before="0" w:after="0"/>
              <w:jc w:val="left"/>
              <w:rPr>
                <w:rFonts w:ascii="Times New Roman" w:hAnsi="Times New Roman"/>
                <w:sz w:val="20"/>
              </w:rPr>
            </w:pPr>
            <w:r>
              <w:rPr>
                <w:rFonts w:ascii="Times New Roman" w:hAnsi="Times New Roman"/>
                <w:sz w:val="20"/>
              </w:rPr>
              <w:t>(+) Aircraft leasing (2)</w:t>
            </w:r>
          </w:p>
        </w:tc>
        <w:tc>
          <w:tcPr>
            <w:tcW w:w="19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11.6</w:t>
            </w:r>
          </w:p>
        </w:tc>
        <w:tc>
          <w:tcPr>
            <w:tcW w:w="326" w:type="dxa"/>
            <w:tcBorders/>
            <w:vAlign w:val="bottom"/>
          </w:tcPr>
          <w:p>
            <w:pPr>
              <w:pStyle w:val="TableContents"/>
              <w:bidi w:val="0"/>
              <w:spacing w:before="0" w:after="283"/>
              <w:jc w:val="left"/>
              <w:rPr/>
            </w:pPr>
            <w:r>
              <w:rPr/>
              <w:t>% </w:t>
            </w:r>
          </w:p>
        </w:tc>
      </w:tr>
      <w:tr>
        <w:trPr/>
        <w:tc>
          <w:tcPr>
            <w:tcW w:w="396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EBITDAR (3)</w:t>
            </w:r>
          </w:p>
        </w:tc>
        <w:tc>
          <w:tcPr>
            <w:tcW w:w="19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right"/>
              <w:rPr>
                <w:b/>
              </w:rPr>
            </w:pPr>
            <w:r>
              <w:rPr>
                <w:b/>
              </w:rPr>
              <w:t>336</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right"/>
              <w:rPr>
                <w:b/>
              </w:rPr>
            </w:pPr>
            <w:r>
              <w:rPr>
                <w:b/>
              </w:rPr>
              <w:t>320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b/>
              </w:rPr>
            </w:pPr>
            <w:r>
              <w:rPr>
                <w:b/>
              </w:rPr>
              <w:t>5.0</w:t>
            </w:r>
          </w:p>
        </w:tc>
        <w:tc>
          <w:tcPr>
            <w:tcW w:w="326" w:type="dxa"/>
            <w:tcBorders/>
            <w:shd w:fill="CCEEFF" w:val="clear"/>
            <w:vAlign w:val="bottom"/>
          </w:tcPr>
          <w:p>
            <w:pPr>
              <w:pStyle w:val="TableContents"/>
              <w:bidi w:val="0"/>
              <w:spacing w:before="0" w:after="283"/>
              <w:jc w:val="left"/>
              <w:rPr>
                <w:b/>
              </w:rPr>
            </w:pPr>
            <w:r>
              <w:rPr>
                <w:b/>
              </w:rPr>
              <w:t>%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Figures may not sum to total due to rounding.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1)</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Depreciation and amortization expense as presented in our profit or loss.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2)</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Aircraft leasing is comprised of short-term rentals of flight equipment, including subject to PBH period.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3)</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Adjusted EBITDAR is a non-IFRS measures and have limitations as analytical tools, and you should not consider them in isolation, or as a substitute for analysis of the Company’s results as reported under IFRS.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69"/>
        <w:gridCol w:w="296"/>
        <w:gridCol w:w="155"/>
        <w:gridCol w:w="1455"/>
        <w:gridCol w:w="60"/>
        <w:gridCol w:w="296"/>
        <w:gridCol w:w="189"/>
        <w:gridCol w:w="1772"/>
        <w:gridCol w:w="63"/>
      </w:tblGrid>
      <w:tr>
        <w:trPr/>
        <w:tc>
          <w:tcPr>
            <w:tcW w:w="3469"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4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Adjusted Net Debt Reconciliation</w:t>
            </w:r>
          </w:p>
        </w:tc>
        <w:tc>
          <w:tcPr>
            <w:tcW w:w="296"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3" w:type="dxa"/>
            <w:tcBorders/>
            <w:vAlign w:val="bottom"/>
          </w:tcPr>
          <w:p>
            <w:pPr>
              <w:pStyle w:val="TableContents"/>
              <w:bidi w:val="0"/>
              <w:spacing w:before="0" w:after="283"/>
              <w:jc w:val="left"/>
              <w:rPr/>
            </w:pPr>
            <w:r>
              <w:rPr/>
              <w:t> </w:t>
            </w:r>
          </w:p>
        </w:tc>
      </w:tr>
      <w:tr>
        <w:trPr/>
        <w:tc>
          <w:tcPr>
            <w:tcW w:w="3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loans and borrowings, including leases</w:t>
            </w:r>
          </w:p>
        </w:tc>
        <w:tc>
          <w:tcPr>
            <w:tcW w:w="29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3,984</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4,055</w:t>
            </w:r>
          </w:p>
        </w:tc>
        <w:tc>
          <w:tcPr>
            <w:tcW w:w="63" w:type="dxa"/>
            <w:tcBorders/>
            <w:shd w:fill="CCEEFF" w:val="clear"/>
            <w:vAlign w:val="bottom"/>
          </w:tcPr>
          <w:p>
            <w:pPr>
              <w:pStyle w:val="TableContents"/>
              <w:bidi w:val="0"/>
              <w:spacing w:before="0" w:after="283"/>
              <w:jc w:val="left"/>
              <w:rPr/>
            </w:pPr>
            <w:r>
              <w:rPr/>
              <w:t> </w:t>
            </w:r>
          </w:p>
        </w:tc>
      </w:tr>
      <w:tr>
        <w:trPr/>
        <w:tc>
          <w:tcPr>
            <w:tcW w:w="3469" w:type="dxa"/>
            <w:tcBorders/>
          </w:tcPr>
          <w:p>
            <w:pPr>
              <w:pStyle w:val="TableContents"/>
              <w:bidi w:val="0"/>
              <w:spacing w:before="0" w:after="0"/>
              <w:jc w:val="left"/>
              <w:rPr>
                <w:rFonts w:ascii="Times New Roman" w:hAnsi="Times New Roman"/>
                <w:sz w:val="20"/>
              </w:rPr>
            </w:pPr>
            <w:r>
              <w:rPr>
                <w:rFonts w:ascii="Times New Roman" w:hAnsi="Times New Roman"/>
                <w:sz w:val="20"/>
              </w:rPr>
              <w:t>(-) Cash and cash equivalents</w:t>
            </w:r>
          </w:p>
        </w:tc>
        <w:tc>
          <w:tcPr>
            <w:tcW w:w="29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1,018</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1,024</w:t>
            </w:r>
          </w:p>
        </w:tc>
        <w:tc>
          <w:tcPr>
            <w:tcW w:w="63" w:type="dxa"/>
            <w:tcBorders/>
            <w:vAlign w:val="bottom"/>
          </w:tcPr>
          <w:p>
            <w:pPr>
              <w:pStyle w:val="TableContents"/>
              <w:bidi w:val="0"/>
              <w:spacing w:before="0" w:after="283"/>
              <w:jc w:val="left"/>
              <w:rPr/>
            </w:pPr>
            <w:r>
              <w:rPr/>
              <w:t> </w:t>
            </w:r>
          </w:p>
        </w:tc>
      </w:tr>
      <w:tr>
        <w:trPr/>
        <w:tc>
          <w:tcPr>
            <w:tcW w:w="3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Short-term investments</w:t>
            </w:r>
          </w:p>
        </w:tc>
        <w:tc>
          <w:tcPr>
            <w:tcW w:w="29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27</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469" w:type="dxa"/>
            <w:tcBorders/>
          </w:tcPr>
          <w:p>
            <w:pPr>
              <w:pStyle w:val="TableContents"/>
              <w:bidi w:val="0"/>
              <w:spacing w:before="0" w:after="0"/>
              <w:jc w:val="left"/>
              <w:rPr>
                <w:rFonts w:ascii="Times New Roman" w:hAnsi="Times New Roman"/>
                <w:b/>
                <w:sz w:val="20"/>
              </w:rPr>
            </w:pPr>
            <w:r>
              <w:rPr>
                <w:rFonts w:ascii="Times New Roman" w:hAnsi="Times New Roman"/>
                <w:b/>
                <w:sz w:val="20"/>
              </w:rPr>
              <w:t>= Adjusted Net Debt (1)</w:t>
            </w:r>
          </w:p>
        </w:tc>
        <w:tc>
          <w:tcPr>
            <w:tcW w:w="29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b/>
              </w:rPr>
            </w:pPr>
            <w:r>
              <w:rPr>
                <w:b/>
              </w:rPr>
              <w:t>2,939</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b/>
              </w:rPr>
            </w:pPr>
            <w:r>
              <w:rPr>
                <w:b/>
              </w:rPr>
              <w:t>3,031</w:t>
            </w:r>
          </w:p>
        </w:tc>
        <w:tc>
          <w:tcPr>
            <w:tcW w:w="63" w:type="dxa"/>
            <w:tcBorders/>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Figures may not sum to total due to rounding.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1)</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Adjusted Net Debt is a non-IFRS measures and has limitations as analytical tools, and you should not consider it in isolation, or as a substitute for analysis of the Company’s results as reported under IFRS. </w:t>
            </w:r>
          </w:p>
        </w:tc>
      </w:tr>
    </w:tbl>
    <w:p>
      <w:pPr>
        <w:pStyle w:val="TextBody"/>
        <w:bidi w:val="0"/>
        <w:spacing w:before="0" w:after="0"/>
        <w:jc w:val="left"/>
        <w:rPr/>
      </w:pPr>
      <w:r>
        <w:rPr/>
        <w:t> </w:t>
      </w:r>
    </w:p>
    <w:tbl>
      <w:tblPr>
        <w:tblW w:w="9480" w:type="dxa"/>
        <w:jc w:val="center"/>
        <w:tblInd w:w="0" w:type="dxa"/>
        <w:tblLayout w:type="fixed"/>
        <w:tblCellMar>
          <w:top w:w="0" w:type="dxa"/>
          <w:left w:w="0" w:type="dxa"/>
          <w:bottom w:w="0" w:type="dxa"/>
          <w:right w:w="0" w:type="dxa"/>
        </w:tblCellMar>
      </w:tblPr>
      <w:tblGrid>
        <w:gridCol w:w="5555"/>
        <w:gridCol w:w="120"/>
        <w:gridCol w:w="155"/>
        <w:gridCol w:w="1455"/>
        <w:gridCol w:w="60"/>
        <w:gridCol w:w="120"/>
        <w:gridCol w:w="189"/>
        <w:gridCol w:w="1766"/>
        <w:gridCol w:w="60"/>
      </w:tblGrid>
      <w:tr>
        <w:trPr/>
        <w:tc>
          <w:tcPr>
            <w:tcW w:w="55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55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Net Leverage Ratio Reconciliation (Adjusted Net Debt / Last Twelve Months</w:t>
              <w:br/>
              <w:t>Adjusted EBITDAR)</w:t>
            </w:r>
          </w:p>
        </w:tc>
        <w:tc>
          <w:tcPr>
            <w:tcW w:w="12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r>
      <w:tr>
        <w:trPr/>
        <w:tc>
          <w:tcPr>
            <w:tcW w:w="5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Debt (1)</w:t>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2,939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66" w:type="dxa"/>
            <w:tcBorders/>
            <w:shd w:fill="CCEEFF" w:val="clear"/>
            <w:vAlign w:val="bottom"/>
          </w:tcPr>
          <w:p>
            <w:pPr>
              <w:pStyle w:val="TableContents"/>
              <w:bidi w:val="0"/>
              <w:spacing w:before="0" w:after="283"/>
              <w:jc w:val="right"/>
              <w:rPr/>
            </w:pPr>
            <w:r>
              <w:rPr/>
              <w:t>3,031</w:t>
            </w:r>
          </w:p>
        </w:tc>
        <w:tc>
          <w:tcPr>
            <w:tcW w:w="60" w:type="dxa"/>
            <w:tcBorders/>
            <w:shd w:fill="CCEEFF" w:val="clear"/>
            <w:vAlign w:val="bottom"/>
          </w:tcPr>
          <w:p>
            <w:pPr>
              <w:pStyle w:val="TableContents"/>
              <w:bidi w:val="0"/>
              <w:spacing w:before="0" w:after="283"/>
              <w:jc w:val="left"/>
              <w:rPr/>
            </w:pPr>
            <w:r>
              <w:rPr/>
              <w:t> </w:t>
            </w:r>
          </w:p>
        </w:tc>
      </w:tr>
      <w:tr>
        <w:trPr/>
        <w:tc>
          <w:tcPr>
            <w:tcW w:w="5555" w:type="dxa"/>
            <w:tcBorders/>
          </w:tcPr>
          <w:p>
            <w:pPr>
              <w:pStyle w:val="TableContents"/>
              <w:bidi w:val="0"/>
              <w:spacing w:before="0" w:after="0"/>
              <w:jc w:val="left"/>
              <w:rPr>
                <w:rFonts w:ascii="Times New Roman" w:hAnsi="Times New Roman"/>
                <w:sz w:val="20"/>
              </w:rPr>
            </w:pPr>
            <w:r>
              <w:rPr>
                <w:rFonts w:ascii="Times New Roman" w:hAnsi="Times New Roman"/>
                <w:sz w:val="20"/>
              </w:rPr>
              <w:t>Last Twelve Months Adjusted EBITDAR (1)</w:t>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1,688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66" w:type="dxa"/>
            <w:tcBorders/>
            <w:vAlign w:val="bottom"/>
          </w:tcPr>
          <w:p>
            <w:pPr>
              <w:pStyle w:val="TableContents"/>
              <w:bidi w:val="0"/>
              <w:spacing w:before="0" w:after="283"/>
              <w:jc w:val="right"/>
              <w:rPr/>
            </w:pPr>
            <w:r>
              <w:rPr/>
              <w:t>1,672</w:t>
            </w:r>
          </w:p>
        </w:tc>
        <w:tc>
          <w:tcPr>
            <w:tcW w:w="60" w:type="dxa"/>
            <w:tcBorders/>
            <w:vAlign w:val="bottom"/>
          </w:tcPr>
          <w:p>
            <w:pPr>
              <w:pStyle w:val="TableContents"/>
              <w:bidi w:val="0"/>
              <w:spacing w:before="0" w:after="283"/>
              <w:jc w:val="left"/>
              <w:rPr/>
            </w:pPr>
            <w:r>
              <w:rPr/>
              <w:t> </w:t>
            </w:r>
          </w:p>
        </w:tc>
      </w:tr>
      <w:tr>
        <w:trPr/>
        <w:tc>
          <w:tcPr>
            <w:tcW w:w="55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Net Leverage Ratio (1)</w:t>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b/>
              </w:rPr>
            </w:pPr>
            <w:r>
              <w:rPr>
                <w:b/>
              </w:rPr>
              <w:t>1.7x</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66" w:type="dxa"/>
            <w:tcBorders/>
            <w:shd w:fill="CCEEFF" w:val="clear"/>
            <w:vAlign w:val="bottom"/>
          </w:tcPr>
          <w:p>
            <w:pPr>
              <w:pStyle w:val="TableContents"/>
              <w:bidi w:val="0"/>
              <w:spacing w:before="0" w:after="283"/>
              <w:jc w:val="right"/>
              <w:rPr>
                <w:b/>
              </w:rPr>
            </w:pPr>
            <w:r>
              <w:rPr>
                <w:b/>
              </w:rPr>
              <w:t>1.8x</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Figures may not sum to total due to rounding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1)</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Adjusted Net Debt, Adjusted EBITDAR and Net Leverage Ratio are non-IFRS measures and have limitations as analytical tools, and you should not consider them in isolation, or as a substitute for analysis of the Company’s results as reported under IFRS.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p>
      <w:pPr>
        <w:pStyle w:val="TextBody"/>
        <w:bidi w:val="0"/>
        <w:spacing w:before="0" w:after="0"/>
        <w:jc w:val="right"/>
        <w:rPr>
          <w:rFonts w:ascii="Times New Roman" w:hAnsi="Times New Roman"/>
          <w:b/>
          <w:sz w:val="20"/>
        </w:rPr>
      </w:pPr>
      <w:bookmarkStart w:id="4" w:name="d332308dex992.htm"/>
      <w:bookmarkStart w:id="5" w:name="ksd332308dex992"/>
      <w:bookmarkEnd w:id="4"/>
      <w:bookmarkEnd w:id="5"/>
      <w:r>
        <w:rPr>
          <w:rFonts w:ascii="Times New Roman" w:hAnsi="Times New Roman"/>
          <w:b/>
          <w:sz w:val="20"/>
        </w:rPr>
        <w:t xml:space="preserve">Exhibit 99.2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 </w:t>
      </w:r>
      <w:r>
        <w:rPr>
          <w:rFonts w:ascii="Times New Roman" w:hAnsi="Times New Roman"/>
          <w:sz w:val="20"/>
        </w:rPr>
        <w:drawing>
          <wp:inline distT="0" distB="0" distL="0" distR="0">
            <wp:extent cx="7715250" cy="10953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715250" cy="1095375"/>
                    </a:xfrm>
                    <a:prstGeom prst="rect">
                      <a:avLst/>
                    </a:prstGeom>
                  </pic:spPr>
                </pic:pic>
              </a:graphicData>
            </a:graphic>
          </wp:inline>
        </w:drawing>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Aeroméxico January 2026 Traffic Results </w:t>
      </w:r>
    </w:p>
    <w:p>
      <w:pPr>
        <w:pStyle w:val="TextBody"/>
        <w:bidi w:val="0"/>
        <w:spacing w:before="240" w:after="0"/>
        <w:jc w:val="left"/>
        <w:rPr>
          <w:rFonts w:ascii="Times New Roman" w:hAnsi="Times New Roman"/>
          <w:sz w:val="20"/>
        </w:rPr>
      </w:pPr>
      <w:r>
        <w:rPr>
          <w:rFonts w:ascii="Times New Roman" w:hAnsi="Times New Roman"/>
          <w:sz w:val="20"/>
        </w:rPr>
        <w:t xml:space="preserve">Mexico City, Mexico, February 5, 2026 – Grupo Aeroméxico S.A.B. de C.V. (NYSE: AERO &amp; BMV: AERO) (“Aeroméxico”) reports its January 2026 operational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Grupo Aeroméxico transported 2 million and 53 thousand passengers in January 2026, a 1.8% year-over-year decrease. International passengers increased by 2.7%, while domestic passengers decreased by 4.2%.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Aeroméxico’s total capacity, measured in available seat miles (ASMs), decreased by 2.3% year-over-year. International ASMs decreased by 1.7%, while domestic capacity decreased by 3.6%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Demand, measured in passenger miles (RPMs), increased by 1.1% year-over-year. International demand increased by 3.8%, while domestic demand decreased by 5.0%, both figures compared to January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Aeroméxico’s January 2026 load factor was 87.0%, a 2.9 p.p. increase as compared to January 2025. International load factor increased by 4.7 p.p., and domestic load factor decreased by 1.2 p.p. </w:t>
            </w:r>
          </w:p>
        </w:tc>
      </w:tr>
    </w:tbl>
    <w:p>
      <w:pPr>
        <w:pStyle w:val="TextBody"/>
        <w:bidi w:val="0"/>
        <w:spacing w:before="240" w:after="0"/>
        <w:jc w:val="left"/>
        <w:rPr>
          <w:rFonts w:ascii="Times New Roman" w:hAnsi="Times New Roman"/>
          <w:sz w:val="20"/>
        </w:rPr>
      </w:pPr>
      <w:r>
        <w:rPr>
          <w:rFonts w:ascii="Times New Roman" w:hAnsi="Times New Roman"/>
          <w:b/>
          <w:sz w:val="20"/>
        </w:rPr>
        <w:t>Andrés Conesa, Chief Executive Officer stated</w:t>
      </w:r>
      <w:r>
        <w:rPr>
          <w:rFonts w:ascii="Times New Roman" w:hAnsi="Times New Roman"/>
          <w:b/>
          <w:i/>
          <w:sz w:val="20"/>
        </w:rPr>
        <w:t>:</w:t>
      </w:r>
      <w:r>
        <w:rPr>
          <w:rFonts w:ascii="Times New Roman" w:hAnsi="Times New Roman"/>
          <w:sz w:val="20"/>
        </w:rPr>
        <w:t xml:space="preserve"> “January traffic results confirm the recovery momentum built in recent months. After external shocks impacted demand early in 2025, we responded decisively by realigning capacity from the second quarter onward. With strong load factors in January, we demonstrated disciplined and agile network management. Capacity is expected to resume its growth trajectory in the second quarter of 2026, reinforcing our confidence as we enter the year with a balanced strategy focused on sustainable growth and disciplined execution.”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59"/>
        <w:gridCol w:w="240"/>
        <w:gridCol w:w="60"/>
        <w:gridCol w:w="573"/>
        <w:gridCol w:w="320"/>
        <w:gridCol w:w="186"/>
        <w:gridCol w:w="60"/>
        <w:gridCol w:w="573"/>
        <w:gridCol w:w="320"/>
        <w:gridCol w:w="186"/>
        <w:gridCol w:w="88"/>
        <w:gridCol w:w="615"/>
        <w:gridCol w:w="325"/>
      </w:tblGrid>
      <w:tr>
        <w:trPr/>
        <w:tc>
          <w:tcPr>
            <w:tcW w:w="6659"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665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98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January</w:t>
            </w:r>
          </w:p>
        </w:tc>
        <w:tc>
          <w:tcPr>
            <w:tcW w:w="325" w:type="dxa"/>
            <w:tcBorders/>
            <w:vAlign w:val="bottom"/>
          </w:tcPr>
          <w:p>
            <w:pPr>
              <w:pStyle w:val="TableContents"/>
              <w:bidi w:val="0"/>
              <w:spacing w:before="0" w:after="283"/>
              <w:jc w:val="left"/>
              <w:rPr/>
            </w:pPr>
            <w:r>
              <w:rPr/>
              <w:t> </w:t>
            </w:r>
          </w:p>
        </w:tc>
      </w:tr>
      <w:tr>
        <w:trPr/>
        <w:tc>
          <w:tcPr>
            <w:tcW w:w="665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vs</w:t>
              <w:br/>
              <w:t>2025</w:t>
            </w:r>
          </w:p>
        </w:tc>
        <w:tc>
          <w:tcPr>
            <w:tcW w:w="325" w:type="dxa"/>
            <w:tcBorders/>
            <w:vAlign w:val="bottom"/>
          </w:tcPr>
          <w:p>
            <w:pPr>
              <w:pStyle w:val="TableContents"/>
              <w:bidi w:val="0"/>
              <w:spacing w:before="0" w:after="283"/>
              <w:jc w:val="left"/>
              <w:rPr/>
            </w:pPr>
            <w:r>
              <w:rPr/>
              <w:t> </w:t>
            </w:r>
          </w:p>
        </w:tc>
      </w:tr>
      <w:tr>
        <w:trPr/>
        <w:tc>
          <w:tcPr>
            <w:tcW w:w="6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Passengers (itinerary + charter, thousands)</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15" w:type="dxa"/>
            <w:tcBorders/>
            <w:shd w:fill="CCEEFF" w:val="clear"/>
            <w:vAlign w:val="bottom"/>
          </w:tcPr>
          <w:p>
            <w:pPr>
              <w:pStyle w:val="TableContents"/>
              <w:bidi w:val="0"/>
              <w:spacing w:before="0" w:after="283"/>
              <w:jc w:val="left"/>
              <w:rPr>
                <w:sz w:val="4"/>
                <w:szCs w:val="4"/>
              </w:rPr>
            </w:pPr>
            <w:r>
              <w:rPr>
                <w:sz w:val="4"/>
                <w:szCs w:val="4"/>
              </w:rPr>
            </w:r>
          </w:p>
        </w:tc>
        <w:tc>
          <w:tcPr>
            <w:tcW w:w="325" w:type="dxa"/>
            <w:tcBorders/>
            <w:shd w:fill="CCEEFF" w:val="clear"/>
            <w:vAlign w:val="bottom"/>
          </w:tcPr>
          <w:p>
            <w:pPr>
              <w:pStyle w:val="TableContents"/>
              <w:bidi w:val="0"/>
              <w:spacing w:before="0" w:after="283"/>
              <w:jc w:val="left"/>
              <w:rPr>
                <w:sz w:val="4"/>
                <w:szCs w:val="4"/>
              </w:rPr>
            </w:pPr>
            <w:r>
              <w:rPr>
                <w:sz w:val="4"/>
                <w:szCs w:val="4"/>
              </w:rPr>
            </w:r>
          </w:p>
        </w:tc>
      </w:tr>
      <w:tr>
        <w:trPr/>
        <w:tc>
          <w:tcPr>
            <w:tcW w:w="6659"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1,298</w:t>
            </w:r>
          </w:p>
        </w:tc>
        <w:tc>
          <w:tcPr>
            <w:tcW w:w="32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1,355</w:t>
            </w:r>
          </w:p>
        </w:tc>
        <w:tc>
          <w:tcPr>
            <w:tcW w:w="32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-4.2</w:t>
            </w:r>
          </w:p>
        </w:tc>
        <w:tc>
          <w:tcPr>
            <w:tcW w:w="325" w:type="dxa"/>
            <w:tcBorders/>
            <w:vAlign w:val="bottom"/>
          </w:tcPr>
          <w:p>
            <w:pPr>
              <w:pStyle w:val="TableContents"/>
              <w:bidi w:val="0"/>
              <w:spacing w:before="0" w:after="283"/>
              <w:jc w:val="left"/>
              <w:rPr/>
            </w:pPr>
            <w:r>
              <w:rPr/>
              <w:t>% </w:t>
            </w:r>
          </w:p>
        </w:tc>
      </w:tr>
      <w:tr>
        <w:trPr/>
        <w:tc>
          <w:tcPr>
            <w:tcW w:w="6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755</w:t>
            </w:r>
          </w:p>
        </w:tc>
        <w:tc>
          <w:tcPr>
            <w:tcW w:w="32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735</w:t>
            </w:r>
          </w:p>
        </w:tc>
        <w:tc>
          <w:tcPr>
            <w:tcW w:w="32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2.7</w:t>
            </w:r>
          </w:p>
        </w:tc>
        <w:tc>
          <w:tcPr>
            <w:tcW w:w="325" w:type="dxa"/>
            <w:tcBorders/>
            <w:shd w:fill="CCEEFF" w:val="clear"/>
            <w:vAlign w:val="bottom"/>
          </w:tcPr>
          <w:p>
            <w:pPr>
              <w:pStyle w:val="TableContents"/>
              <w:bidi w:val="0"/>
              <w:spacing w:before="0" w:after="283"/>
              <w:jc w:val="left"/>
              <w:rPr/>
            </w:pPr>
            <w:r>
              <w:rPr/>
              <w:t>% </w:t>
            </w:r>
          </w:p>
        </w:tc>
      </w:tr>
      <w:tr>
        <w:trPr/>
        <w:tc>
          <w:tcPr>
            <w:tcW w:w="665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2,053</w:t>
            </w:r>
          </w:p>
        </w:tc>
        <w:tc>
          <w:tcPr>
            <w:tcW w:w="32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2,090</w:t>
            </w:r>
          </w:p>
        </w:tc>
        <w:tc>
          <w:tcPr>
            <w:tcW w:w="32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b/>
              </w:rPr>
            </w:pPr>
            <w:r>
              <w:rPr>
                <w:b/>
              </w:rPr>
              <w:t>-1.8</w:t>
            </w:r>
          </w:p>
        </w:tc>
        <w:tc>
          <w:tcPr>
            <w:tcW w:w="325" w:type="dxa"/>
            <w:tcBorders/>
            <w:vAlign w:val="bottom"/>
          </w:tcPr>
          <w:p>
            <w:pPr>
              <w:pStyle w:val="TableContents"/>
              <w:bidi w:val="0"/>
              <w:spacing w:before="0" w:after="283"/>
              <w:jc w:val="left"/>
              <w:rPr>
                <w:b/>
              </w:rPr>
            </w:pPr>
            <w:r>
              <w:rPr>
                <w:b/>
              </w:rPr>
              <w:t>% </w:t>
            </w:r>
          </w:p>
        </w:tc>
      </w:tr>
      <w:tr>
        <w:trPr/>
        <w:tc>
          <w:tcPr>
            <w:tcW w:w="6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ASMs (itinerary + charter, millions)</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15" w:type="dxa"/>
            <w:tcBorders/>
            <w:shd w:fill="CCEEFF" w:val="clear"/>
            <w:vAlign w:val="bottom"/>
          </w:tcPr>
          <w:p>
            <w:pPr>
              <w:pStyle w:val="TableContents"/>
              <w:bidi w:val="0"/>
              <w:spacing w:before="0" w:after="283"/>
              <w:jc w:val="left"/>
              <w:rPr>
                <w:sz w:val="4"/>
                <w:szCs w:val="4"/>
              </w:rPr>
            </w:pPr>
            <w:r>
              <w:rPr>
                <w:sz w:val="4"/>
                <w:szCs w:val="4"/>
              </w:rPr>
            </w:r>
          </w:p>
        </w:tc>
        <w:tc>
          <w:tcPr>
            <w:tcW w:w="325" w:type="dxa"/>
            <w:tcBorders/>
            <w:shd w:fill="CCEEFF" w:val="clear"/>
            <w:vAlign w:val="bottom"/>
          </w:tcPr>
          <w:p>
            <w:pPr>
              <w:pStyle w:val="TableContents"/>
              <w:bidi w:val="0"/>
              <w:spacing w:before="0" w:after="283"/>
              <w:jc w:val="left"/>
              <w:rPr>
                <w:sz w:val="4"/>
                <w:szCs w:val="4"/>
              </w:rPr>
            </w:pPr>
            <w:r>
              <w:rPr>
                <w:sz w:val="4"/>
                <w:szCs w:val="4"/>
              </w:rPr>
            </w:r>
          </w:p>
        </w:tc>
      </w:tr>
      <w:tr>
        <w:trPr/>
        <w:tc>
          <w:tcPr>
            <w:tcW w:w="6659"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892</w:t>
            </w:r>
          </w:p>
        </w:tc>
        <w:tc>
          <w:tcPr>
            <w:tcW w:w="32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925</w:t>
            </w:r>
          </w:p>
        </w:tc>
        <w:tc>
          <w:tcPr>
            <w:tcW w:w="32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-3.6</w:t>
            </w:r>
          </w:p>
        </w:tc>
        <w:tc>
          <w:tcPr>
            <w:tcW w:w="325" w:type="dxa"/>
            <w:tcBorders/>
            <w:vAlign w:val="bottom"/>
          </w:tcPr>
          <w:p>
            <w:pPr>
              <w:pStyle w:val="TableContents"/>
              <w:bidi w:val="0"/>
              <w:spacing w:before="0" w:after="283"/>
              <w:jc w:val="left"/>
              <w:rPr/>
            </w:pPr>
            <w:r>
              <w:rPr/>
              <w:t>% </w:t>
            </w:r>
          </w:p>
        </w:tc>
      </w:tr>
      <w:tr>
        <w:trPr/>
        <w:tc>
          <w:tcPr>
            <w:tcW w:w="6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2,111</w:t>
            </w:r>
          </w:p>
        </w:tc>
        <w:tc>
          <w:tcPr>
            <w:tcW w:w="32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2,148</w:t>
            </w:r>
          </w:p>
        </w:tc>
        <w:tc>
          <w:tcPr>
            <w:tcW w:w="32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-1.7</w:t>
            </w:r>
          </w:p>
        </w:tc>
        <w:tc>
          <w:tcPr>
            <w:tcW w:w="325" w:type="dxa"/>
            <w:tcBorders/>
            <w:shd w:fill="CCEEFF" w:val="clear"/>
            <w:vAlign w:val="bottom"/>
          </w:tcPr>
          <w:p>
            <w:pPr>
              <w:pStyle w:val="TableContents"/>
              <w:bidi w:val="0"/>
              <w:spacing w:before="0" w:after="283"/>
              <w:jc w:val="left"/>
              <w:rPr/>
            </w:pPr>
            <w:r>
              <w:rPr/>
              <w:t>% </w:t>
            </w:r>
          </w:p>
        </w:tc>
      </w:tr>
      <w:tr>
        <w:trPr/>
        <w:tc>
          <w:tcPr>
            <w:tcW w:w="665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3,003</w:t>
            </w:r>
          </w:p>
        </w:tc>
        <w:tc>
          <w:tcPr>
            <w:tcW w:w="32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3,073</w:t>
            </w:r>
          </w:p>
        </w:tc>
        <w:tc>
          <w:tcPr>
            <w:tcW w:w="32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b/>
              </w:rPr>
            </w:pPr>
            <w:r>
              <w:rPr>
                <w:b/>
              </w:rPr>
              <w:t>-2.3</w:t>
            </w:r>
          </w:p>
        </w:tc>
        <w:tc>
          <w:tcPr>
            <w:tcW w:w="325" w:type="dxa"/>
            <w:tcBorders/>
            <w:vAlign w:val="bottom"/>
          </w:tcPr>
          <w:p>
            <w:pPr>
              <w:pStyle w:val="TableContents"/>
              <w:bidi w:val="0"/>
              <w:spacing w:before="0" w:after="283"/>
              <w:jc w:val="left"/>
              <w:rPr>
                <w:b/>
              </w:rPr>
            </w:pPr>
            <w:r>
              <w:rPr>
                <w:b/>
              </w:rPr>
              <w:t>% </w:t>
            </w:r>
          </w:p>
        </w:tc>
      </w:tr>
      <w:tr>
        <w:trPr/>
        <w:tc>
          <w:tcPr>
            <w:tcW w:w="6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RPMs (itinerary + charter, millions)</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15" w:type="dxa"/>
            <w:tcBorders/>
            <w:shd w:fill="CCEEFF" w:val="clear"/>
            <w:vAlign w:val="bottom"/>
          </w:tcPr>
          <w:p>
            <w:pPr>
              <w:pStyle w:val="TableContents"/>
              <w:bidi w:val="0"/>
              <w:spacing w:before="0" w:after="283"/>
              <w:jc w:val="left"/>
              <w:rPr>
                <w:sz w:val="4"/>
                <w:szCs w:val="4"/>
              </w:rPr>
            </w:pPr>
            <w:r>
              <w:rPr>
                <w:sz w:val="4"/>
                <w:szCs w:val="4"/>
              </w:rPr>
            </w:r>
          </w:p>
        </w:tc>
        <w:tc>
          <w:tcPr>
            <w:tcW w:w="325" w:type="dxa"/>
            <w:tcBorders/>
            <w:shd w:fill="CCEEFF" w:val="clear"/>
            <w:vAlign w:val="bottom"/>
          </w:tcPr>
          <w:p>
            <w:pPr>
              <w:pStyle w:val="TableContents"/>
              <w:bidi w:val="0"/>
              <w:spacing w:before="0" w:after="283"/>
              <w:jc w:val="left"/>
              <w:rPr>
                <w:sz w:val="4"/>
                <w:szCs w:val="4"/>
              </w:rPr>
            </w:pPr>
            <w:r>
              <w:rPr>
                <w:sz w:val="4"/>
                <w:szCs w:val="4"/>
              </w:rPr>
            </w:r>
          </w:p>
        </w:tc>
      </w:tr>
      <w:tr>
        <w:trPr/>
        <w:tc>
          <w:tcPr>
            <w:tcW w:w="6659"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740</w:t>
            </w:r>
          </w:p>
        </w:tc>
        <w:tc>
          <w:tcPr>
            <w:tcW w:w="32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779</w:t>
            </w:r>
          </w:p>
        </w:tc>
        <w:tc>
          <w:tcPr>
            <w:tcW w:w="32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-5.0</w:t>
            </w:r>
          </w:p>
        </w:tc>
        <w:tc>
          <w:tcPr>
            <w:tcW w:w="325" w:type="dxa"/>
            <w:tcBorders/>
            <w:vAlign w:val="bottom"/>
          </w:tcPr>
          <w:p>
            <w:pPr>
              <w:pStyle w:val="TableContents"/>
              <w:bidi w:val="0"/>
              <w:spacing w:before="0" w:after="283"/>
              <w:jc w:val="left"/>
              <w:rPr/>
            </w:pPr>
            <w:r>
              <w:rPr/>
              <w:t>% </w:t>
            </w:r>
          </w:p>
        </w:tc>
      </w:tr>
      <w:tr>
        <w:trPr/>
        <w:tc>
          <w:tcPr>
            <w:tcW w:w="6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1,874</w:t>
            </w:r>
          </w:p>
        </w:tc>
        <w:tc>
          <w:tcPr>
            <w:tcW w:w="32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1,805</w:t>
            </w:r>
          </w:p>
        </w:tc>
        <w:tc>
          <w:tcPr>
            <w:tcW w:w="32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3.8</w:t>
            </w:r>
          </w:p>
        </w:tc>
        <w:tc>
          <w:tcPr>
            <w:tcW w:w="325" w:type="dxa"/>
            <w:tcBorders/>
            <w:shd w:fill="CCEEFF" w:val="clear"/>
            <w:vAlign w:val="bottom"/>
          </w:tcPr>
          <w:p>
            <w:pPr>
              <w:pStyle w:val="TableContents"/>
              <w:bidi w:val="0"/>
              <w:spacing w:before="0" w:after="283"/>
              <w:jc w:val="left"/>
              <w:rPr/>
            </w:pPr>
            <w:r>
              <w:rPr/>
              <w:t>% </w:t>
            </w:r>
          </w:p>
        </w:tc>
      </w:tr>
      <w:tr>
        <w:trPr/>
        <w:tc>
          <w:tcPr>
            <w:tcW w:w="665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2,614</w:t>
            </w:r>
          </w:p>
        </w:tc>
        <w:tc>
          <w:tcPr>
            <w:tcW w:w="32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2,584</w:t>
            </w:r>
          </w:p>
        </w:tc>
        <w:tc>
          <w:tcPr>
            <w:tcW w:w="32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b/>
              </w:rPr>
            </w:pPr>
            <w:r>
              <w:rPr>
                <w:b/>
              </w:rPr>
              <w:t>1.1</w:t>
            </w:r>
          </w:p>
        </w:tc>
        <w:tc>
          <w:tcPr>
            <w:tcW w:w="325" w:type="dxa"/>
            <w:tcBorders/>
            <w:vAlign w:val="bottom"/>
          </w:tcPr>
          <w:p>
            <w:pPr>
              <w:pStyle w:val="TableContents"/>
              <w:bidi w:val="0"/>
              <w:spacing w:before="0" w:after="283"/>
              <w:jc w:val="left"/>
              <w:rPr>
                <w:b/>
              </w:rPr>
            </w:pPr>
            <w:r>
              <w:rPr>
                <w:b/>
              </w:rPr>
              <w:t>% </w:t>
            </w:r>
          </w:p>
        </w:tc>
      </w:tr>
      <w:tr>
        <w:trPr/>
        <w:tc>
          <w:tcPr>
            <w:tcW w:w="66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Load Factor (itinerary, %)</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b/>
              </w:rPr>
            </w:pPr>
            <w:r>
              <w:rPr>
                <w:b/>
              </w:rPr>
              <w:t>p.p.</w:t>
            </w:r>
          </w:p>
        </w:tc>
        <w:tc>
          <w:tcPr>
            <w:tcW w:w="325" w:type="dxa"/>
            <w:tcBorders/>
            <w:shd w:fill="CCEEFF" w:val="clear"/>
            <w:vAlign w:val="bottom"/>
          </w:tcPr>
          <w:p>
            <w:pPr>
              <w:pStyle w:val="TableContents"/>
              <w:bidi w:val="0"/>
              <w:spacing w:before="0" w:after="283"/>
              <w:jc w:val="left"/>
              <w:rPr/>
            </w:pPr>
            <w:r>
              <w:rPr/>
              <w:t> </w:t>
            </w:r>
          </w:p>
        </w:tc>
      </w:tr>
      <w:tr>
        <w:trPr/>
        <w:tc>
          <w:tcPr>
            <w:tcW w:w="6659"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83.0</w:t>
            </w:r>
          </w:p>
        </w:tc>
        <w:tc>
          <w:tcPr>
            <w:tcW w:w="32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84.2</w:t>
            </w:r>
          </w:p>
        </w:tc>
        <w:tc>
          <w:tcPr>
            <w:tcW w:w="32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-1.2</w:t>
            </w:r>
          </w:p>
        </w:tc>
        <w:tc>
          <w:tcPr>
            <w:tcW w:w="325" w:type="dxa"/>
            <w:tcBorders/>
            <w:vAlign w:val="bottom"/>
          </w:tcPr>
          <w:p>
            <w:pPr>
              <w:pStyle w:val="TableContents"/>
              <w:bidi w:val="0"/>
              <w:spacing w:before="0" w:after="283"/>
              <w:jc w:val="left"/>
              <w:rPr/>
            </w:pPr>
            <w:r>
              <w:rPr/>
              <w:t> </w:t>
            </w:r>
          </w:p>
        </w:tc>
      </w:tr>
      <w:tr>
        <w:trPr/>
        <w:tc>
          <w:tcPr>
            <w:tcW w:w="6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88.8</w:t>
            </w:r>
          </w:p>
        </w:tc>
        <w:tc>
          <w:tcPr>
            <w:tcW w:w="32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84.0</w:t>
            </w:r>
          </w:p>
        </w:tc>
        <w:tc>
          <w:tcPr>
            <w:tcW w:w="32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4.7</w:t>
            </w:r>
          </w:p>
        </w:tc>
        <w:tc>
          <w:tcPr>
            <w:tcW w:w="325" w:type="dxa"/>
            <w:tcBorders/>
            <w:shd w:fill="CCEEFF" w:val="clear"/>
            <w:vAlign w:val="bottom"/>
          </w:tcPr>
          <w:p>
            <w:pPr>
              <w:pStyle w:val="TableContents"/>
              <w:bidi w:val="0"/>
              <w:spacing w:before="0" w:after="283"/>
              <w:jc w:val="left"/>
              <w:rPr/>
            </w:pPr>
            <w:r>
              <w:rPr/>
              <w:t> </w:t>
            </w:r>
          </w:p>
        </w:tc>
      </w:tr>
      <w:tr>
        <w:trPr/>
        <w:tc>
          <w:tcPr>
            <w:tcW w:w="665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87.0</w:t>
            </w:r>
          </w:p>
        </w:tc>
        <w:tc>
          <w:tcPr>
            <w:tcW w:w="320" w:type="dxa"/>
            <w:tcBorders/>
            <w:vAlign w:val="bottom"/>
          </w:tcPr>
          <w:p>
            <w:pPr>
              <w:pStyle w:val="TableContents"/>
              <w:bidi w:val="0"/>
              <w:spacing w:before="0" w:after="283"/>
              <w:jc w:val="left"/>
              <w:rPr>
                <w:b/>
              </w:rPr>
            </w:pPr>
            <w:r>
              <w:rPr>
                <w:b/>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84.1</w:t>
            </w:r>
          </w:p>
        </w:tc>
        <w:tc>
          <w:tcPr>
            <w:tcW w:w="320" w:type="dxa"/>
            <w:tcBorders/>
            <w:vAlign w:val="bottom"/>
          </w:tcPr>
          <w:p>
            <w:pPr>
              <w:pStyle w:val="TableContents"/>
              <w:bidi w:val="0"/>
              <w:spacing w:before="0" w:after="283"/>
              <w:jc w:val="left"/>
              <w:rPr>
                <w:b/>
              </w:rPr>
            </w:pPr>
            <w:r>
              <w:rPr>
                <w:b/>
              </w:rPr>
              <w:t>% </w:t>
            </w:r>
          </w:p>
        </w:tc>
        <w:tc>
          <w:tcPr>
            <w:tcW w:w="186"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b/>
              </w:rPr>
            </w:pPr>
            <w:r>
              <w:rPr>
                <w:b/>
              </w:rPr>
              <w:t>2.9</w:t>
            </w:r>
          </w:p>
        </w:tc>
        <w:tc>
          <w:tcPr>
            <w:tcW w:w="325"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Figures may not sum to total due to rounding.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971550" cy="2952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71550" cy="2952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The information included within this report has not been audited and does not provide information on the Company’s future performance. Aeromexico’s future performance depends on many factors and it cannot be inferred that any period’s performance or its year-over-year comparison will be an indicator of similar future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Glossary: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u w:val="single"/>
              </w:rPr>
              <w:t>“</w:t>
            </w:r>
            <w:r>
              <w:rPr>
                <w:rFonts w:ascii="Times New Roman" w:hAnsi="Times New Roman"/>
                <w:sz w:val="20"/>
                <w:u w:val="single"/>
              </w:rPr>
              <w:t>RPMs”</w:t>
            </w:r>
            <w:r>
              <w:rPr>
                <w:rFonts w:ascii="Times New Roman" w:hAnsi="Times New Roman"/>
                <w:sz w:val="20"/>
              </w:rPr>
              <w:t xml:space="preserve"> Revenue Passenger Miles represent one revenue-passenger transported one mile. This includes itinerary and charter flights. The total RPMs equals the number of revenue-passengers transported multiplied by the total distance flown.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u w:val="single"/>
              </w:rPr>
              <w:t>“</w:t>
            </w:r>
            <w:r>
              <w:rPr>
                <w:rFonts w:ascii="Times New Roman" w:hAnsi="Times New Roman"/>
                <w:sz w:val="20"/>
                <w:u w:val="single"/>
              </w:rPr>
              <w:t>ASMs”</w:t>
            </w:r>
            <w:r>
              <w:rPr>
                <w:rFonts w:ascii="Times New Roman" w:hAnsi="Times New Roman"/>
                <w:sz w:val="20"/>
              </w:rPr>
              <w:t xml:space="preserve"> Available Seat Miles represent the number of available seats multiplied by the distance flown. This metric is an indicator of the airline’s capacity. It equals one seat offered for one mile, whether the seat is used.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u w:val="single"/>
              </w:rPr>
              <w:t>“</w:t>
            </w:r>
            <w:r>
              <w:rPr>
                <w:rFonts w:ascii="Times New Roman" w:hAnsi="Times New Roman"/>
                <w:sz w:val="20"/>
                <w:u w:val="single"/>
              </w:rPr>
              <w:t>Load Factor”</w:t>
            </w:r>
            <w:r>
              <w:rPr>
                <w:rFonts w:ascii="Times New Roman" w:hAnsi="Times New Roman"/>
                <w:sz w:val="20"/>
              </w:rPr>
              <w:t xml:space="preserve"> equals the number of passengers transported as a percentage of the number of seats offered. It is a measure of the airline’s capacity utilization. This metric considers the total passengers transported and total seats available in itinerary flights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u w:val="single"/>
              </w:rPr>
              <w:t>“</w:t>
            </w:r>
            <w:r>
              <w:rPr>
                <w:rFonts w:ascii="Times New Roman" w:hAnsi="Times New Roman"/>
                <w:sz w:val="20"/>
                <w:u w:val="single"/>
              </w:rPr>
              <w:t>Passengers”</w:t>
            </w:r>
            <w:r>
              <w:rPr>
                <w:rFonts w:ascii="Times New Roman" w:hAnsi="Times New Roman"/>
                <w:sz w:val="20"/>
              </w:rPr>
              <w:t xml:space="preserve"> refers to the total number of passengers transported by the airline.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This press release contains certain forward-looking statements that reflect the current views and/or expectations of the Company and its management with respect to its performance, business and future events. We use words such as “believe,” “anticipate,” “plan,” “expect,”, “intend,” “target,” “estimate,” “project,” “predict,” “forecast,” “guideline,” “should” and other similar expressions to identify forward-looking statements, but they are not the only way we identify such statements. Such statements are subject to a number of risks, uncertainties and assumptions. We caution you that a number of important factors could cause actual results to differ materially from the plans, objectives, expectations, estimates and intentions expressed in this release. The Company is under no obligation and expressly disclaims any intention or obligation to update or revise any forward-looking statements, whether as a result of new information, future events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About Grupo Aeroméxico </w:t>
      </w:r>
    </w:p>
    <w:p>
      <w:pPr>
        <w:pStyle w:val="TextBody"/>
        <w:bidi w:val="0"/>
        <w:spacing w:before="120" w:after="0"/>
        <w:jc w:val="left"/>
        <w:rPr>
          <w:rFonts w:ascii="Times New Roman" w:hAnsi="Times New Roman"/>
          <w:i/>
          <w:sz w:val="20"/>
        </w:rPr>
      </w:pPr>
      <w:r>
        <w:rPr>
          <w:rFonts w:ascii="Times New Roman" w:hAnsi="Times New Roman"/>
          <w:i/>
          <w:sz w:val="20"/>
        </w:rPr>
        <w:t xml:space="preserve">Grupo Aeroméxico, S.A.B. de C.V., is a holding company whose subsidiaries are engaged in commercial aviation in Mexico and in the promotion of passenger loyalty programs. Aeroméxico, Mexico’s global airline, operates primarily out of Terminal 2 of the Mexico City International Airport. Its destination network extends across Mexico, the United States, Canada, Central America, South America, Asia, and Europe. Aeroméxico’s current operating fleet includes Boeing 787 and 737 aircraft, as well as Embraer 190. Aeroméxico is a founding member of SkyTeam, an alliance celebrating 25 years and offering connectivity across more than 145 countries through its 18 partner airlines. </w:t>
      </w:r>
    </w:p>
    <w:p>
      <w:pPr>
        <w:pStyle w:val="TextBody"/>
        <w:bidi w:val="0"/>
        <w:spacing w:before="240" w:after="0"/>
        <w:jc w:val="left"/>
        <w:rPr>
          <w:rFonts w:ascii="Times New Roman" w:hAnsi="Times New Roman"/>
          <w:i/>
          <w:sz w:val="20"/>
        </w:rPr>
      </w:pPr>
      <w:r>
        <w:rPr>
          <w:rFonts w:ascii="Times New Roman" w:hAnsi="Times New Roman"/>
          <w:i/>
          <w:sz w:val="20"/>
        </w:rPr>
        <w:t xml:space="preserve">www.aeromexico.com </w:t>
      </w:r>
    </w:p>
    <w:p>
      <w:pPr>
        <w:pStyle w:val="TextBody"/>
        <w:bidi w:val="0"/>
        <w:spacing w:before="0" w:after="0"/>
        <w:jc w:val="left"/>
        <w:rPr>
          <w:rFonts w:ascii="Times New Roman" w:hAnsi="Times New Roman"/>
          <w:i/>
          <w:sz w:val="20"/>
        </w:rPr>
      </w:pPr>
      <w:r>
        <w:rPr>
          <w:rFonts w:ascii="Times New Roman" w:hAnsi="Times New Roman"/>
          <w:i/>
          <w:sz w:val="20"/>
        </w:rPr>
        <w:t xml:space="preserve">www.skyteam.com </w:t>
      </w:r>
    </w:p>
    <w:p>
      <w:pPr>
        <w:pStyle w:val="TextBody"/>
        <w:bidi w:val="0"/>
        <w:spacing w:before="0" w:after="0"/>
        <w:jc w:val="left"/>
        <w:rPr/>
      </w:pPr>
      <w:r>
        <w:rPr/>
        <w:t> </w:t>
      </w:r>
    </w:p>
    <w:p>
      <w:pPr>
        <w:pStyle w:val="TextBody"/>
        <w:bidi w:val="0"/>
        <w:spacing w:before="0" w:after="0"/>
        <w:jc w:val="center"/>
        <w:rPr/>
      </w:pPr>
      <w:r>
        <w:rPr/>
        <w:drawing>
          <wp:inline distT="0" distB="0" distL="0" distR="0">
            <wp:extent cx="857250"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57250" cy="1428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6" w:name="d332308dex993.htm"/>
      <w:bookmarkStart w:id="7" w:name="ksd332308dex993"/>
      <w:bookmarkEnd w:id="6"/>
      <w:bookmarkEnd w:id="7"/>
      <w:r>
        <w:rPr>
          <w:rFonts w:ascii="Times New Roman" w:hAnsi="Times New Roman"/>
          <w:b/>
          <w:sz w:val="20"/>
        </w:rPr>
        <w:t xml:space="preserve">Exhibit 99.3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05"/>
        <w:gridCol w:w="120"/>
        <w:gridCol w:w="580"/>
      </w:tblGrid>
      <w:tr>
        <w:trPr/>
        <w:tc>
          <w:tcPr>
            <w:tcW w:w="95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9505" w:type="dxa"/>
            <w:tcBorders/>
          </w:tcPr>
          <w:p>
            <w:pPr>
              <w:pStyle w:val="TableContents"/>
              <w:bidi w:val="0"/>
              <w:spacing w:before="0" w:after="283"/>
              <w:jc w:val="center"/>
              <w:rPr/>
            </w:pPr>
            <w:r>
              <w:rPr/>
              <w:drawing>
                <wp:inline distT="0" distB="0" distL="0" distR="0">
                  <wp:extent cx="3314700" cy="7143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314700" cy="7143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580" w:type="dxa"/>
            <w:tcBorders/>
          </w:tcPr>
          <w:p>
            <w:pPr>
              <w:pStyle w:val="TableContents"/>
              <w:bidi w:val="0"/>
              <w:spacing w:before="0" w:after="283"/>
              <w:jc w:val="right"/>
              <w:rPr/>
            </w:pPr>
            <w:r>
              <w:rPr/>
              <w:drawing>
                <wp:inline distT="0" distB="0" distL="0" distR="0">
                  <wp:extent cx="323850" cy="10858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23850" cy="1085850"/>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Aeroméxico February 2026 Traffic Results </w:t>
      </w:r>
    </w:p>
    <w:p>
      <w:pPr>
        <w:pStyle w:val="TextBody"/>
        <w:bidi w:val="0"/>
        <w:spacing w:before="240" w:after="0"/>
        <w:jc w:val="left"/>
        <w:rPr>
          <w:rFonts w:ascii="Times New Roman" w:hAnsi="Times New Roman"/>
          <w:sz w:val="20"/>
        </w:rPr>
      </w:pPr>
      <w:r>
        <w:rPr>
          <w:rFonts w:ascii="Times New Roman" w:hAnsi="Times New Roman"/>
          <w:sz w:val="20"/>
        </w:rPr>
        <w:t xml:space="preserve">Mexico City, Mexico, March 5, 2026 – Grupo Aeroméxico S.A.B. de C.V. (NYSE: AERO &amp; BMV: AERO) (“Aeroméxico”) reports its February 2026 operational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Grupo Aeroméxico transported 1 million and 744 thousand passengers in February 2026, a 1.2% year-over-year decrease. International passengers increased by 2.7%, while domestic passengers decreased by 3.0%.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Aeroméxico’s total capacity, measured in available seat miles (ASMs), decreased by 2.2% year-over-year. International ASMs decreased by 1.6%, while domestic capacity decreased by 3.6%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Demand, measured in passenger miles (RPMs), increased by 1.2% year-over-year. International demand increased by 3.0%, while domestic demand decreased by 2.6%, both figures compared to February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Aeroméxico’s February 2026 load factor was 82.7%, a 2.8 p.p. increase as compared to February 2025. International load factor increased by 3.7 p.p., and domestic load factor increased by 0.9 p.p. </w:t>
            </w:r>
          </w:p>
        </w:tc>
      </w:tr>
    </w:tbl>
    <w:p>
      <w:pPr>
        <w:pStyle w:val="TextBody"/>
        <w:bidi w:val="0"/>
        <w:spacing w:before="240" w:after="0"/>
        <w:jc w:val="left"/>
        <w:rPr>
          <w:rFonts w:ascii="Times New Roman" w:hAnsi="Times New Roman"/>
          <w:sz w:val="20"/>
        </w:rPr>
      </w:pPr>
      <w:r>
        <w:rPr>
          <w:rFonts w:ascii="Times New Roman" w:hAnsi="Times New Roman"/>
          <w:b/>
          <w:sz w:val="20"/>
        </w:rPr>
        <w:t>Andrés Conesa, Chief Executive Officer stated</w:t>
      </w:r>
      <w:r>
        <w:rPr>
          <w:rFonts w:ascii="Times New Roman" w:hAnsi="Times New Roman"/>
          <w:b/>
          <w:i/>
          <w:sz w:val="20"/>
        </w:rPr>
        <w:t>:</w:t>
      </w:r>
      <w:r>
        <w:rPr>
          <w:rFonts w:ascii="Times New Roman" w:hAnsi="Times New Roman"/>
          <w:sz w:val="20"/>
        </w:rPr>
        <w:t xml:space="preserve"> “The continued recovery, particularly across international markets, is clearly reflected in our February traffic performance. Strong load factors validate the resilience and structural flexibility embedded in our operating model, enabling us to respond swiftly and effectively to demand volatility. While isolated events occurred toward the end of the month, their impact was limited and geographically concentrated in the Jalisco region, which represents a small portion of our overall operation.”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65"/>
        <w:gridCol w:w="184"/>
        <w:gridCol w:w="60"/>
        <w:gridCol w:w="562"/>
        <w:gridCol w:w="320"/>
        <w:gridCol w:w="127"/>
        <w:gridCol w:w="60"/>
        <w:gridCol w:w="562"/>
        <w:gridCol w:w="320"/>
        <w:gridCol w:w="127"/>
        <w:gridCol w:w="88"/>
        <w:gridCol w:w="607"/>
        <w:gridCol w:w="320"/>
        <w:gridCol w:w="126"/>
        <w:gridCol w:w="60"/>
        <w:gridCol w:w="567"/>
        <w:gridCol w:w="323"/>
        <w:gridCol w:w="127"/>
        <w:gridCol w:w="60"/>
        <w:gridCol w:w="567"/>
        <w:gridCol w:w="323"/>
        <w:gridCol w:w="127"/>
        <w:gridCol w:w="87"/>
        <w:gridCol w:w="608"/>
        <w:gridCol w:w="328"/>
      </w:tblGrid>
      <w:tr>
        <w:trPr/>
        <w:tc>
          <w:tcPr>
            <w:tcW w:w="3565"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356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83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February</w:t>
            </w:r>
          </w:p>
        </w:tc>
        <w:tc>
          <w:tcPr>
            <w:tcW w:w="3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84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Cumulative to February</w:t>
            </w:r>
          </w:p>
        </w:tc>
        <w:tc>
          <w:tcPr>
            <w:tcW w:w="328" w:type="dxa"/>
            <w:tcBorders/>
            <w:vAlign w:val="bottom"/>
          </w:tcPr>
          <w:p>
            <w:pPr>
              <w:pStyle w:val="TableContents"/>
              <w:bidi w:val="0"/>
              <w:spacing w:before="0" w:after="283"/>
              <w:jc w:val="left"/>
              <w:rPr/>
            </w:pPr>
            <w:r>
              <w:rPr/>
              <w:t> </w:t>
            </w:r>
          </w:p>
        </w:tc>
      </w:tr>
      <w:tr>
        <w:trPr/>
        <w:tc>
          <w:tcPr>
            <w:tcW w:w="356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pPr>
            <w:r>
              <w:rPr>
                <w:b/>
              </w:rPr>
              <w:t>Var vs</w:t>
            </w:r>
            <w:r>
              <w:rPr/>
              <w:br/>
            </w:r>
            <w:r>
              <w:rPr>
                <w:b/>
              </w:rPr>
              <w:t>2025</w:t>
            </w:r>
          </w:p>
        </w:tc>
        <w:tc>
          <w:tcPr>
            <w:tcW w:w="3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pPr>
            <w:r>
              <w:rPr>
                <w:b/>
              </w:rPr>
              <w:t>Var vs</w:t>
            </w:r>
            <w:r>
              <w:rPr/>
              <w:br/>
            </w:r>
            <w:r>
              <w:rPr>
                <w:b/>
              </w:rPr>
              <w:t>2025</w:t>
            </w:r>
          </w:p>
        </w:tc>
        <w:tc>
          <w:tcPr>
            <w:tcW w:w="328" w:type="dxa"/>
            <w:tcBorders/>
            <w:vAlign w:val="bottom"/>
          </w:tcPr>
          <w:p>
            <w:pPr>
              <w:pStyle w:val="TableContents"/>
              <w:bidi w:val="0"/>
              <w:spacing w:before="0" w:after="283"/>
              <w:jc w:val="left"/>
              <w:rPr/>
            </w:pPr>
            <w:r>
              <w:rPr/>
              <w:t> </w:t>
            </w:r>
          </w:p>
        </w:tc>
      </w:tr>
      <w:tr>
        <w:trPr/>
        <w:tc>
          <w:tcPr>
            <w:tcW w:w="3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Passengers (itinerary + charter, thousands)</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608"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r>
      <w:tr>
        <w:trPr/>
        <w:tc>
          <w:tcPr>
            <w:tcW w:w="3565"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1,159</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1,195</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-3.0</w:t>
            </w:r>
          </w:p>
        </w:tc>
        <w:tc>
          <w:tcPr>
            <w:tcW w:w="3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2,458</w:t>
            </w:r>
          </w:p>
        </w:tc>
        <w:tc>
          <w:tcPr>
            <w:tcW w:w="3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2,551</w:t>
            </w:r>
          </w:p>
        </w:tc>
        <w:tc>
          <w:tcPr>
            <w:tcW w:w="3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-3.6</w:t>
            </w:r>
          </w:p>
        </w:tc>
        <w:tc>
          <w:tcPr>
            <w:tcW w:w="328" w:type="dxa"/>
            <w:tcBorders/>
            <w:vAlign w:val="bottom"/>
          </w:tcPr>
          <w:p>
            <w:pPr>
              <w:pStyle w:val="TableContents"/>
              <w:bidi w:val="0"/>
              <w:spacing w:before="0" w:after="283"/>
              <w:jc w:val="left"/>
              <w:rPr/>
            </w:pPr>
            <w:r>
              <w:rPr/>
              <w:t>% </w:t>
            </w:r>
          </w:p>
        </w:tc>
      </w:tr>
      <w:tr>
        <w:trPr/>
        <w:tc>
          <w:tcPr>
            <w:tcW w:w="3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584</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569</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2.7</w:t>
            </w:r>
          </w:p>
        </w:tc>
        <w:tc>
          <w:tcPr>
            <w:tcW w:w="3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1,339</w:t>
            </w:r>
          </w:p>
        </w:tc>
        <w:tc>
          <w:tcPr>
            <w:tcW w:w="323"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1,304</w:t>
            </w:r>
          </w:p>
        </w:tc>
        <w:tc>
          <w:tcPr>
            <w:tcW w:w="323"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2.7</w:t>
            </w:r>
          </w:p>
        </w:tc>
        <w:tc>
          <w:tcPr>
            <w:tcW w:w="328" w:type="dxa"/>
            <w:tcBorders/>
            <w:shd w:fill="CCEEFF" w:val="clear"/>
            <w:vAlign w:val="bottom"/>
          </w:tcPr>
          <w:p>
            <w:pPr>
              <w:pStyle w:val="TableContents"/>
              <w:bidi w:val="0"/>
              <w:spacing w:before="0" w:after="283"/>
              <w:jc w:val="left"/>
              <w:rPr/>
            </w:pPr>
            <w:r>
              <w:rPr/>
              <w:t>% </w:t>
            </w:r>
          </w:p>
        </w:tc>
      </w:tr>
      <w:tr>
        <w:trPr/>
        <w:tc>
          <w:tcPr>
            <w:tcW w:w="356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1,744</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1,764</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-1.2</w:t>
            </w:r>
          </w:p>
        </w:tc>
        <w:tc>
          <w:tcPr>
            <w:tcW w:w="320" w:type="dxa"/>
            <w:tcBorders/>
            <w:vAlign w:val="bottom"/>
          </w:tcPr>
          <w:p>
            <w:pPr>
              <w:pStyle w:val="TableContents"/>
              <w:bidi w:val="0"/>
              <w:spacing w:before="0" w:after="283"/>
              <w:jc w:val="left"/>
              <w:rPr>
                <w:b/>
              </w:rPr>
            </w:pPr>
            <w:r>
              <w:rPr>
                <w:b/>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b/>
              </w:rPr>
            </w:pPr>
            <w:r>
              <w:rPr>
                <w:b/>
              </w:rPr>
              <w:t>3,797</w:t>
            </w:r>
          </w:p>
        </w:tc>
        <w:tc>
          <w:tcPr>
            <w:tcW w:w="3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b/>
              </w:rPr>
            </w:pPr>
            <w:r>
              <w:rPr>
                <w:b/>
              </w:rPr>
              <w:t>3,855</w:t>
            </w:r>
          </w:p>
        </w:tc>
        <w:tc>
          <w:tcPr>
            <w:tcW w:w="3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b/>
              </w:rPr>
            </w:pPr>
            <w:r>
              <w:rPr>
                <w:b/>
              </w:rPr>
              <w:t>-1.5</w:t>
            </w:r>
          </w:p>
        </w:tc>
        <w:tc>
          <w:tcPr>
            <w:tcW w:w="328" w:type="dxa"/>
            <w:tcBorders/>
            <w:vAlign w:val="bottom"/>
          </w:tcPr>
          <w:p>
            <w:pPr>
              <w:pStyle w:val="TableContents"/>
              <w:bidi w:val="0"/>
              <w:spacing w:before="0" w:after="283"/>
              <w:jc w:val="left"/>
              <w:rPr>
                <w:b/>
              </w:rPr>
            </w:pPr>
            <w:r>
              <w:rPr>
                <w:b/>
              </w:rPr>
              <w:t>% </w:t>
            </w:r>
          </w:p>
        </w:tc>
      </w:tr>
      <w:tr>
        <w:trPr/>
        <w:tc>
          <w:tcPr>
            <w:tcW w:w="3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ASMs (itinerary + charter, millions)</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608"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r>
      <w:tr>
        <w:trPr/>
        <w:tc>
          <w:tcPr>
            <w:tcW w:w="3565"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800</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830</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-3.6</w:t>
            </w:r>
          </w:p>
        </w:tc>
        <w:tc>
          <w:tcPr>
            <w:tcW w:w="3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1,692</w:t>
            </w:r>
          </w:p>
        </w:tc>
        <w:tc>
          <w:tcPr>
            <w:tcW w:w="3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1,755</w:t>
            </w:r>
          </w:p>
        </w:tc>
        <w:tc>
          <w:tcPr>
            <w:tcW w:w="3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-3.6</w:t>
            </w:r>
          </w:p>
        </w:tc>
        <w:tc>
          <w:tcPr>
            <w:tcW w:w="328" w:type="dxa"/>
            <w:tcBorders/>
            <w:vAlign w:val="bottom"/>
          </w:tcPr>
          <w:p>
            <w:pPr>
              <w:pStyle w:val="TableContents"/>
              <w:bidi w:val="0"/>
              <w:spacing w:before="0" w:after="283"/>
              <w:jc w:val="left"/>
              <w:rPr/>
            </w:pPr>
            <w:r>
              <w:rPr/>
              <w:t>% </w:t>
            </w:r>
          </w:p>
        </w:tc>
      </w:tr>
      <w:tr>
        <w:trPr/>
        <w:tc>
          <w:tcPr>
            <w:tcW w:w="3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1,795</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1,823</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-1.6</w:t>
            </w:r>
          </w:p>
        </w:tc>
        <w:tc>
          <w:tcPr>
            <w:tcW w:w="3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3,906</w:t>
            </w:r>
          </w:p>
        </w:tc>
        <w:tc>
          <w:tcPr>
            <w:tcW w:w="323"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3,971</w:t>
            </w:r>
          </w:p>
        </w:tc>
        <w:tc>
          <w:tcPr>
            <w:tcW w:w="323"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-1.6</w:t>
            </w:r>
          </w:p>
        </w:tc>
        <w:tc>
          <w:tcPr>
            <w:tcW w:w="328" w:type="dxa"/>
            <w:tcBorders/>
            <w:shd w:fill="CCEEFF" w:val="clear"/>
            <w:vAlign w:val="bottom"/>
          </w:tcPr>
          <w:p>
            <w:pPr>
              <w:pStyle w:val="TableContents"/>
              <w:bidi w:val="0"/>
              <w:spacing w:before="0" w:after="283"/>
              <w:jc w:val="left"/>
              <w:rPr/>
            </w:pPr>
            <w:r>
              <w:rPr/>
              <w:t>% </w:t>
            </w:r>
          </w:p>
        </w:tc>
      </w:tr>
      <w:tr>
        <w:trPr/>
        <w:tc>
          <w:tcPr>
            <w:tcW w:w="356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2,595</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2,653</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-2.2</w:t>
            </w:r>
          </w:p>
        </w:tc>
        <w:tc>
          <w:tcPr>
            <w:tcW w:w="320" w:type="dxa"/>
            <w:tcBorders/>
            <w:vAlign w:val="bottom"/>
          </w:tcPr>
          <w:p>
            <w:pPr>
              <w:pStyle w:val="TableContents"/>
              <w:bidi w:val="0"/>
              <w:spacing w:before="0" w:after="283"/>
              <w:jc w:val="left"/>
              <w:rPr>
                <w:b/>
              </w:rPr>
            </w:pPr>
            <w:r>
              <w:rPr>
                <w:b/>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b/>
              </w:rPr>
            </w:pPr>
            <w:r>
              <w:rPr>
                <w:b/>
              </w:rPr>
              <w:t>5,598</w:t>
            </w:r>
          </w:p>
        </w:tc>
        <w:tc>
          <w:tcPr>
            <w:tcW w:w="3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b/>
              </w:rPr>
            </w:pPr>
            <w:r>
              <w:rPr>
                <w:b/>
              </w:rPr>
              <w:t>5,726</w:t>
            </w:r>
          </w:p>
        </w:tc>
        <w:tc>
          <w:tcPr>
            <w:tcW w:w="3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b/>
              </w:rPr>
            </w:pPr>
            <w:r>
              <w:rPr>
                <w:b/>
              </w:rPr>
              <w:t>-2.2</w:t>
            </w:r>
          </w:p>
        </w:tc>
        <w:tc>
          <w:tcPr>
            <w:tcW w:w="328" w:type="dxa"/>
            <w:tcBorders/>
            <w:vAlign w:val="bottom"/>
          </w:tcPr>
          <w:p>
            <w:pPr>
              <w:pStyle w:val="TableContents"/>
              <w:bidi w:val="0"/>
              <w:spacing w:before="0" w:after="283"/>
              <w:jc w:val="left"/>
              <w:rPr>
                <w:b/>
              </w:rPr>
            </w:pPr>
            <w:r>
              <w:rPr>
                <w:b/>
              </w:rPr>
              <w:t>% </w:t>
            </w:r>
          </w:p>
        </w:tc>
      </w:tr>
      <w:tr>
        <w:trPr/>
        <w:tc>
          <w:tcPr>
            <w:tcW w:w="3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RPMs (itinerary + charter, millions)</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608"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r>
      <w:tr>
        <w:trPr/>
        <w:tc>
          <w:tcPr>
            <w:tcW w:w="3565"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652</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669</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-2.6</w:t>
            </w:r>
          </w:p>
        </w:tc>
        <w:tc>
          <w:tcPr>
            <w:tcW w:w="3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1,392</w:t>
            </w:r>
          </w:p>
        </w:tc>
        <w:tc>
          <w:tcPr>
            <w:tcW w:w="3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1,448</w:t>
            </w:r>
          </w:p>
        </w:tc>
        <w:tc>
          <w:tcPr>
            <w:tcW w:w="3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-3.9</w:t>
            </w:r>
          </w:p>
        </w:tc>
        <w:tc>
          <w:tcPr>
            <w:tcW w:w="328" w:type="dxa"/>
            <w:tcBorders/>
            <w:vAlign w:val="bottom"/>
          </w:tcPr>
          <w:p>
            <w:pPr>
              <w:pStyle w:val="TableContents"/>
              <w:bidi w:val="0"/>
              <w:spacing w:before="0" w:after="283"/>
              <w:jc w:val="left"/>
              <w:rPr/>
            </w:pPr>
            <w:r>
              <w:rPr/>
              <w:t>% </w:t>
            </w:r>
          </w:p>
        </w:tc>
      </w:tr>
      <w:tr>
        <w:trPr/>
        <w:tc>
          <w:tcPr>
            <w:tcW w:w="3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1,492</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1,449</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3.0</w:t>
            </w:r>
          </w:p>
        </w:tc>
        <w:tc>
          <w:tcPr>
            <w:tcW w:w="3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3,366</w:t>
            </w:r>
          </w:p>
        </w:tc>
        <w:tc>
          <w:tcPr>
            <w:tcW w:w="323"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3,255</w:t>
            </w:r>
          </w:p>
        </w:tc>
        <w:tc>
          <w:tcPr>
            <w:tcW w:w="323"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3.4</w:t>
            </w:r>
          </w:p>
        </w:tc>
        <w:tc>
          <w:tcPr>
            <w:tcW w:w="328" w:type="dxa"/>
            <w:tcBorders/>
            <w:shd w:fill="CCEEFF" w:val="clear"/>
            <w:vAlign w:val="bottom"/>
          </w:tcPr>
          <w:p>
            <w:pPr>
              <w:pStyle w:val="TableContents"/>
              <w:bidi w:val="0"/>
              <w:spacing w:before="0" w:after="283"/>
              <w:jc w:val="left"/>
              <w:rPr/>
            </w:pPr>
            <w:r>
              <w:rPr/>
              <w:t>% </w:t>
            </w:r>
          </w:p>
        </w:tc>
      </w:tr>
      <w:tr>
        <w:trPr/>
        <w:tc>
          <w:tcPr>
            <w:tcW w:w="356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2,144</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2,118</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1.2</w:t>
            </w:r>
          </w:p>
        </w:tc>
        <w:tc>
          <w:tcPr>
            <w:tcW w:w="320" w:type="dxa"/>
            <w:tcBorders/>
            <w:vAlign w:val="bottom"/>
          </w:tcPr>
          <w:p>
            <w:pPr>
              <w:pStyle w:val="TableContents"/>
              <w:bidi w:val="0"/>
              <w:spacing w:before="0" w:after="283"/>
              <w:jc w:val="left"/>
              <w:rPr>
                <w:b/>
              </w:rPr>
            </w:pPr>
            <w:r>
              <w:rPr>
                <w:b/>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b/>
              </w:rPr>
            </w:pPr>
            <w:r>
              <w:rPr>
                <w:b/>
              </w:rPr>
              <w:t>4,758</w:t>
            </w:r>
          </w:p>
        </w:tc>
        <w:tc>
          <w:tcPr>
            <w:tcW w:w="3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b/>
              </w:rPr>
            </w:pPr>
            <w:r>
              <w:rPr>
                <w:b/>
              </w:rPr>
              <w:t>4,703</w:t>
            </w:r>
          </w:p>
        </w:tc>
        <w:tc>
          <w:tcPr>
            <w:tcW w:w="3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b/>
              </w:rPr>
            </w:pPr>
            <w:r>
              <w:rPr>
                <w:b/>
              </w:rPr>
              <w:t>1.2</w:t>
            </w:r>
          </w:p>
        </w:tc>
        <w:tc>
          <w:tcPr>
            <w:tcW w:w="328" w:type="dxa"/>
            <w:tcBorders/>
            <w:vAlign w:val="bottom"/>
          </w:tcPr>
          <w:p>
            <w:pPr>
              <w:pStyle w:val="TableContents"/>
              <w:bidi w:val="0"/>
              <w:spacing w:before="0" w:after="283"/>
              <w:jc w:val="left"/>
              <w:rPr>
                <w:b/>
              </w:rPr>
            </w:pPr>
            <w:r>
              <w:rPr>
                <w:b/>
              </w:rPr>
              <w:t>% </w:t>
            </w:r>
          </w:p>
        </w:tc>
      </w:tr>
      <w:tr>
        <w:trPr/>
        <w:tc>
          <w:tcPr>
            <w:tcW w:w="3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Load Factor (itinerary, %)</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b/>
              </w:rPr>
            </w:pPr>
            <w:r>
              <w:rPr>
                <w:b/>
              </w:rPr>
              <w:t>p.p.</w:t>
            </w:r>
          </w:p>
        </w:tc>
        <w:tc>
          <w:tcPr>
            <w:tcW w:w="3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b/>
              </w:rPr>
            </w:pPr>
            <w:r>
              <w:rPr>
                <w:b/>
              </w:rPr>
              <w:t>p.p.</w:t>
            </w:r>
          </w:p>
        </w:tc>
        <w:tc>
          <w:tcPr>
            <w:tcW w:w="328" w:type="dxa"/>
            <w:tcBorders/>
            <w:shd w:fill="CCEEFF" w:val="clear"/>
            <w:vAlign w:val="bottom"/>
          </w:tcPr>
          <w:p>
            <w:pPr>
              <w:pStyle w:val="TableContents"/>
              <w:bidi w:val="0"/>
              <w:spacing w:before="0" w:after="283"/>
              <w:jc w:val="left"/>
              <w:rPr/>
            </w:pPr>
            <w:r>
              <w:rPr/>
              <w:t> </w:t>
            </w:r>
          </w:p>
        </w:tc>
      </w:tr>
      <w:tr>
        <w:trPr/>
        <w:tc>
          <w:tcPr>
            <w:tcW w:w="3565"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81.5</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80.6</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0.9</w:t>
            </w:r>
          </w:p>
        </w:tc>
        <w:tc>
          <w:tcPr>
            <w:tcW w:w="3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82.3</w:t>
            </w:r>
          </w:p>
        </w:tc>
        <w:tc>
          <w:tcPr>
            <w:tcW w:w="3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82.5</w:t>
            </w:r>
          </w:p>
        </w:tc>
        <w:tc>
          <w:tcPr>
            <w:tcW w:w="3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-0.2</w:t>
            </w:r>
          </w:p>
        </w:tc>
        <w:tc>
          <w:tcPr>
            <w:tcW w:w="328" w:type="dxa"/>
            <w:tcBorders/>
            <w:vAlign w:val="bottom"/>
          </w:tcPr>
          <w:p>
            <w:pPr>
              <w:pStyle w:val="TableContents"/>
              <w:bidi w:val="0"/>
              <w:spacing w:before="0" w:after="283"/>
              <w:jc w:val="left"/>
              <w:rPr/>
            </w:pPr>
            <w:r>
              <w:rPr/>
              <w:t> </w:t>
            </w:r>
          </w:p>
        </w:tc>
      </w:tr>
      <w:tr>
        <w:trPr/>
        <w:tc>
          <w:tcPr>
            <w:tcW w:w="3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83.2</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79.5</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3.7</w:t>
            </w:r>
          </w:p>
        </w:tc>
        <w:tc>
          <w:tcPr>
            <w:tcW w:w="3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86.2</w:t>
            </w:r>
          </w:p>
        </w:tc>
        <w:tc>
          <w:tcPr>
            <w:tcW w:w="323"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81.9</w:t>
            </w:r>
          </w:p>
        </w:tc>
        <w:tc>
          <w:tcPr>
            <w:tcW w:w="323"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4.3</w:t>
            </w:r>
          </w:p>
        </w:tc>
        <w:tc>
          <w:tcPr>
            <w:tcW w:w="328" w:type="dxa"/>
            <w:tcBorders/>
            <w:shd w:fill="CCEEFF" w:val="clear"/>
            <w:vAlign w:val="bottom"/>
          </w:tcPr>
          <w:p>
            <w:pPr>
              <w:pStyle w:val="TableContents"/>
              <w:bidi w:val="0"/>
              <w:spacing w:before="0" w:after="283"/>
              <w:jc w:val="left"/>
              <w:rPr/>
            </w:pPr>
            <w:r>
              <w:rPr/>
              <w:t> </w:t>
            </w:r>
          </w:p>
        </w:tc>
      </w:tr>
      <w:tr>
        <w:trPr/>
        <w:tc>
          <w:tcPr>
            <w:tcW w:w="356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82.7</w:t>
            </w:r>
          </w:p>
        </w:tc>
        <w:tc>
          <w:tcPr>
            <w:tcW w:w="320" w:type="dxa"/>
            <w:tcBorders/>
            <w:vAlign w:val="bottom"/>
          </w:tcPr>
          <w:p>
            <w:pPr>
              <w:pStyle w:val="TableContents"/>
              <w:bidi w:val="0"/>
              <w:spacing w:before="0" w:after="283"/>
              <w:jc w:val="left"/>
              <w:rPr>
                <w:b/>
              </w:rPr>
            </w:pPr>
            <w:r>
              <w:rPr>
                <w:b/>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79.8</w:t>
            </w:r>
          </w:p>
        </w:tc>
        <w:tc>
          <w:tcPr>
            <w:tcW w:w="320" w:type="dxa"/>
            <w:tcBorders/>
            <w:vAlign w:val="bottom"/>
          </w:tcPr>
          <w:p>
            <w:pPr>
              <w:pStyle w:val="TableContents"/>
              <w:bidi w:val="0"/>
              <w:spacing w:before="0" w:after="283"/>
              <w:jc w:val="left"/>
              <w:rPr>
                <w:b/>
              </w:rPr>
            </w:pPr>
            <w:r>
              <w:rPr>
                <w:b/>
              </w:rPr>
              <w:t>%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2.8</w:t>
            </w:r>
          </w:p>
        </w:tc>
        <w:tc>
          <w:tcPr>
            <w:tcW w:w="3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b/>
              </w:rPr>
            </w:pPr>
            <w:r>
              <w:rPr>
                <w:b/>
              </w:rPr>
              <w:t>85.0</w:t>
            </w:r>
          </w:p>
        </w:tc>
        <w:tc>
          <w:tcPr>
            <w:tcW w:w="323" w:type="dxa"/>
            <w:tcBorders/>
            <w:vAlign w:val="bottom"/>
          </w:tcPr>
          <w:p>
            <w:pPr>
              <w:pStyle w:val="TableContents"/>
              <w:bidi w:val="0"/>
              <w:spacing w:before="0" w:after="283"/>
              <w:jc w:val="left"/>
              <w:rPr>
                <w:b/>
              </w:rPr>
            </w:pPr>
            <w:r>
              <w:rPr>
                <w:b/>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b/>
              </w:rPr>
            </w:pPr>
            <w:r>
              <w:rPr>
                <w:b/>
              </w:rPr>
              <w:t>82.1</w:t>
            </w:r>
          </w:p>
        </w:tc>
        <w:tc>
          <w:tcPr>
            <w:tcW w:w="323" w:type="dxa"/>
            <w:tcBorders/>
            <w:vAlign w:val="bottom"/>
          </w:tcPr>
          <w:p>
            <w:pPr>
              <w:pStyle w:val="TableContents"/>
              <w:bidi w:val="0"/>
              <w:spacing w:before="0" w:after="283"/>
              <w:jc w:val="left"/>
              <w:rPr>
                <w:b/>
              </w:rPr>
            </w:pPr>
            <w:r>
              <w:rPr>
                <w:b/>
              </w:rPr>
              <w:t>% </w:t>
            </w:r>
          </w:p>
        </w:tc>
        <w:tc>
          <w:tcPr>
            <w:tcW w:w="12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b/>
              </w:rPr>
            </w:pPr>
            <w:r>
              <w:rPr>
                <w:b/>
              </w:rPr>
              <w:t>2.9</w:t>
            </w:r>
          </w:p>
        </w:tc>
        <w:tc>
          <w:tcPr>
            <w:tcW w:w="32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Figures may not sum to total due to rounding.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971550" cy="23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71550" cy="2381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The information included within this report has not been audited and does not provide information on the Company’s future performance. Aeromexico’s future performance depends on many factors and it cannot be inferred that any period’s performance or its year-over-year comparison will be an indicator of similar future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Glossary: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u w:val="single"/>
              </w:rPr>
              <w:t>“</w:t>
            </w:r>
            <w:r>
              <w:rPr>
                <w:rFonts w:ascii="Times New Roman" w:hAnsi="Times New Roman"/>
                <w:sz w:val="20"/>
                <w:u w:val="single"/>
              </w:rPr>
              <w:t>RPMs”</w:t>
            </w:r>
            <w:r>
              <w:rPr>
                <w:rFonts w:ascii="Times New Roman" w:hAnsi="Times New Roman"/>
                <w:sz w:val="20"/>
              </w:rPr>
              <w:t xml:space="preserve"> Revenue Passenger Miles represent one revenue-passenger transported one mile. This includes itinerary and charter flights. The total RPMs equals the number of revenue-passengers transported multiplied by the total distance flown.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u w:val="single"/>
              </w:rPr>
              <w:t>“</w:t>
            </w:r>
            <w:r>
              <w:rPr>
                <w:rFonts w:ascii="Times New Roman" w:hAnsi="Times New Roman"/>
                <w:sz w:val="20"/>
                <w:u w:val="single"/>
              </w:rPr>
              <w:t>ASMs”</w:t>
            </w:r>
            <w:r>
              <w:rPr>
                <w:rFonts w:ascii="Times New Roman" w:hAnsi="Times New Roman"/>
                <w:sz w:val="20"/>
              </w:rPr>
              <w:t xml:space="preserve"> Available Seat Miles represent the number of available seats multiplied by the distance flown. This metric is an indicator of the airline’s capacity. It equals one seat offered for one mile, whether the seat is used.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u w:val="single"/>
              </w:rPr>
              <w:t>“</w:t>
            </w:r>
            <w:r>
              <w:rPr>
                <w:rFonts w:ascii="Times New Roman" w:hAnsi="Times New Roman"/>
                <w:sz w:val="20"/>
                <w:u w:val="single"/>
              </w:rPr>
              <w:t>Load Factor”</w:t>
            </w:r>
            <w:r>
              <w:rPr>
                <w:rFonts w:ascii="Times New Roman" w:hAnsi="Times New Roman"/>
                <w:sz w:val="20"/>
              </w:rPr>
              <w:t xml:space="preserve"> equals the number of passengers transported as a percentage of the number of seats offered. It is a measure of the airline’s capacity utilization. This metric considers the total passengers transported and total seats available in itinerary flights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u w:val="single"/>
              </w:rPr>
              <w:t>“</w:t>
            </w:r>
            <w:r>
              <w:rPr>
                <w:rFonts w:ascii="Times New Roman" w:hAnsi="Times New Roman"/>
                <w:sz w:val="20"/>
                <w:u w:val="single"/>
              </w:rPr>
              <w:t>Passengers”</w:t>
            </w:r>
            <w:r>
              <w:rPr>
                <w:rFonts w:ascii="Times New Roman" w:hAnsi="Times New Roman"/>
                <w:sz w:val="20"/>
              </w:rPr>
              <w:t xml:space="preserve"> refers to the total number of passengers transported by the airline.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This press release contains certain forward-looking statements that reflect the current views and/or expectations of the Company and its management with respect to its performance, business and future events. We use words such as “believe,” “anticipate,” “plan,” “expect,”, “intend,” “target,” “estimate,” “project,” “predict,” “forecast,” “guideline,” “should” and other similar expressions to identify forward-looking statements, but they are not the only way we identify such statements. Such statements are subject to a number of risks, uncertainties and assumptions. We caution you that a number of important factors could cause actual results to differ materially from the plans, objectives, expectations, estimates and intentions expressed in this release. The Company is under no obligation and expressly disclaims any intention or obligation to update or revise any forward-looking statements, whether as a result of new information, future events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About Grupo Aeroméxico </w:t>
      </w:r>
    </w:p>
    <w:p>
      <w:pPr>
        <w:pStyle w:val="TextBody"/>
        <w:bidi w:val="0"/>
        <w:spacing w:before="120" w:after="0"/>
        <w:jc w:val="left"/>
        <w:rPr>
          <w:rFonts w:ascii="Times New Roman" w:hAnsi="Times New Roman"/>
          <w:i/>
          <w:sz w:val="20"/>
        </w:rPr>
      </w:pPr>
      <w:r>
        <w:rPr>
          <w:rFonts w:ascii="Times New Roman" w:hAnsi="Times New Roman"/>
          <w:i/>
          <w:sz w:val="20"/>
        </w:rPr>
        <w:t xml:space="preserve">Grupo Aeroméxico, S.A.B. de C.V., is a holding company whose subsidiaries are engaged in commercial aviation in Mexico and in the promotion of passenger loyalty programs. Aeroméxico, Mexico’s global airline, operates primarily out of Terminal 2 of the Mexico City International Airport. Its destination network extends across Mexico, the United States, Canada, Central America, South America, Asia, and Europe. Aeroméxico’s current operating fleet includes Boeing 787 and 737 aircraft, as well as Embraer 190. Aeroméxico is a founding member of SkyTeam, an alliance celebrating 25 years and offering connectivity across more than 145 countries through its 18 partner airlines. </w:t>
      </w:r>
    </w:p>
    <w:p>
      <w:pPr>
        <w:pStyle w:val="TextBody"/>
        <w:bidi w:val="0"/>
        <w:spacing w:before="240" w:after="0"/>
        <w:jc w:val="left"/>
        <w:rPr>
          <w:rFonts w:ascii="Times New Roman" w:hAnsi="Times New Roman"/>
          <w:i/>
          <w:sz w:val="20"/>
        </w:rPr>
      </w:pPr>
      <w:r>
        <w:rPr>
          <w:rFonts w:ascii="Times New Roman" w:hAnsi="Times New Roman"/>
          <w:i/>
          <w:sz w:val="20"/>
        </w:rPr>
        <w:t xml:space="preserve">www.aeromexico.com </w:t>
      </w:r>
    </w:p>
    <w:p>
      <w:pPr>
        <w:pStyle w:val="TextBody"/>
        <w:bidi w:val="0"/>
        <w:spacing w:before="0" w:after="0"/>
        <w:jc w:val="left"/>
        <w:rPr>
          <w:rFonts w:ascii="Times New Roman" w:hAnsi="Times New Roman"/>
          <w:i/>
          <w:sz w:val="20"/>
        </w:rPr>
      </w:pPr>
      <w:r>
        <w:rPr>
          <w:rFonts w:ascii="Times New Roman" w:hAnsi="Times New Roman"/>
          <w:i/>
          <w:sz w:val="20"/>
        </w:rPr>
        <w:t xml:space="preserve">www.skyteam.com </w:t>
      </w:r>
    </w:p>
    <w:p>
      <w:pPr>
        <w:pStyle w:val="TextBody"/>
        <w:bidi w:val="0"/>
        <w:spacing w:before="0" w:after="0"/>
        <w:jc w:val="left"/>
        <w:rPr/>
      </w:pPr>
      <w:r>
        <w:rPr/>
        <w:t> </w:t>
      </w:r>
    </w:p>
    <w:p>
      <w:pPr>
        <w:pStyle w:val="TextBody"/>
        <w:bidi w:val="0"/>
        <w:spacing w:before="0" w:after="0"/>
        <w:jc w:val="center"/>
        <w:rPr/>
      </w:pPr>
      <w:r>
        <w:rPr/>
        <w:drawing>
          <wp:inline distT="0" distB="0" distL="0" distR="0">
            <wp:extent cx="819150" cy="133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19150" cy="1333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8" w:name="d332308dex994.htm"/>
      <w:bookmarkStart w:id="9" w:name="ksd332308dex994"/>
      <w:bookmarkEnd w:id="8"/>
      <w:bookmarkEnd w:id="9"/>
      <w:r>
        <w:rPr>
          <w:rFonts w:ascii="Times New Roman" w:hAnsi="Times New Roman"/>
          <w:b/>
          <w:sz w:val="20"/>
        </w:rPr>
        <w:t xml:space="preserve">Exhibit 99.4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5800725" cy="1143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800725" cy="11430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Aeroméxico March 2026 Traffic Results </w:t>
      </w:r>
    </w:p>
    <w:p>
      <w:pPr>
        <w:pStyle w:val="TextBody"/>
        <w:bidi w:val="0"/>
        <w:spacing w:before="240" w:after="0"/>
        <w:jc w:val="left"/>
        <w:rPr>
          <w:rFonts w:ascii="Times New Roman" w:hAnsi="Times New Roman"/>
          <w:sz w:val="20"/>
        </w:rPr>
      </w:pPr>
      <w:r>
        <w:rPr>
          <w:rFonts w:ascii="Times New Roman" w:hAnsi="Times New Roman"/>
          <w:sz w:val="20"/>
        </w:rPr>
        <w:t xml:space="preserve">Mexico City, Mexico, April 8, 2026 – Grupo Aeroméxico S.A.B. de C.V. (NYSE: AERO &amp; BMV: AERO) (“Aeroméxico”) reports its March 2026 operational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Grupo Aeroméxico transported 1 million and 994 thousand passengers in March 2026, a 1.4% year-over-year decrease. International passengers decreased by 0.5%, while domestic passengers decreased by 1.9%.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Aeroméxico’s total capacity, measured in available seat miles (ASMs), increased by 1.0% year-over-year. International ASMs increased by 1.9%, while domestic capacity decreased by 1.1%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Demand, measured in passenger miles (RPMs), increased by 1.7% year-over-year. International demand increased by 3.1%, while domestic demand decreased by 1.4%, both figures compared to March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Aeroméxico’s March 2026 load factor was 83.3%, a 0.6 p.p. increase as compared to March 2025. International load factor increased by 1.0 p.p., and domestic load factor decreased by 0.2 p.p. </w:t>
            </w:r>
          </w:p>
        </w:tc>
      </w:tr>
    </w:tbl>
    <w:p>
      <w:pPr>
        <w:pStyle w:val="TextBody"/>
        <w:bidi w:val="0"/>
        <w:spacing w:before="240" w:after="0"/>
        <w:jc w:val="left"/>
        <w:rPr>
          <w:rFonts w:ascii="Times New Roman" w:hAnsi="Times New Roman"/>
          <w:sz w:val="20"/>
        </w:rPr>
      </w:pPr>
      <w:r>
        <w:rPr>
          <w:rFonts w:ascii="Times New Roman" w:hAnsi="Times New Roman"/>
          <w:b/>
          <w:sz w:val="20"/>
        </w:rPr>
        <w:t>Andrés Conesa, Chief Executive Officer stated</w:t>
      </w:r>
      <w:r>
        <w:rPr>
          <w:rFonts w:ascii="Times New Roman" w:hAnsi="Times New Roman"/>
          <w:b/>
          <w:i/>
          <w:sz w:val="20"/>
        </w:rPr>
        <w:t>:</w:t>
      </w:r>
      <w:r>
        <w:rPr>
          <w:rFonts w:ascii="Times New Roman" w:hAnsi="Times New Roman"/>
          <w:sz w:val="20"/>
        </w:rPr>
        <w:t xml:space="preserve"> “March traffic results reflect Aeroméxico’s business resilience following localized disruptions in February, which affected demand in some particular regions in Mexico, as well as in transborder markets from the United States. The year-over-year improvement in load factor underscores our swift response and disciplined capacity management, demonstrating the flexibility and adaptability of our operating model. In the current challenging environment, marked by heightened fuel price volatility driven by geopolitical developments, we remain focused on optimizing our network and revenue management strategies to protect profitability while maintaining strong operational efficiency”.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63"/>
        <w:gridCol w:w="184"/>
        <w:gridCol w:w="60"/>
        <w:gridCol w:w="565"/>
        <w:gridCol w:w="320"/>
        <w:gridCol w:w="127"/>
        <w:gridCol w:w="60"/>
        <w:gridCol w:w="565"/>
        <w:gridCol w:w="320"/>
        <w:gridCol w:w="127"/>
        <w:gridCol w:w="88"/>
        <w:gridCol w:w="608"/>
        <w:gridCol w:w="320"/>
        <w:gridCol w:w="127"/>
        <w:gridCol w:w="60"/>
        <w:gridCol w:w="565"/>
        <w:gridCol w:w="320"/>
        <w:gridCol w:w="127"/>
        <w:gridCol w:w="60"/>
        <w:gridCol w:w="565"/>
        <w:gridCol w:w="320"/>
        <w:gridCol w:w="127"/>
        <w:gridCol w:w="88"/>
        <w:gridCol w:w="608"/>
        <w:gridCol w:w="331"/>
      </w:tblGrid>
      <w:tr>
        <w:trPr/>
        <w:tc>
          <w:tcPr>
            <w:tcW w:w="3563"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6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84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March</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84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Cumulative to March</w:t>
            </w:r>
          </w:p>
        </w:tc>
        <w:tc>
          <w:tcPr>
            <w:tcW w:w="331" w:type="dxa"/>
            <w:tcBorders/>
            <w:vAlign w:val="bottom"/>
          </w:tcPr>
          <w:p>
            <w:pPr>
              <w:pStyle w:val="TableContents"/>
              <w:bidi w:val="0"/>
              <w:spacing w:before="0" w:after="283"/>
              <w:jc w:val="left"/>
              <w:rPr/>
            </w:pPr>
            <w:r>
              <w:rPr/>
              <w:t> </w:t>
            </w:r>
          </w:p>
        </w:tc>
      </w:tr>
      <w:tr>
        <w:trPr/>
        <w:tc>
          <w:tcPr>
            <w:tcW w:w="356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vs</w:t>
              <w:br/>
              <w:t>2025</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vs</w:t>
              <w:br/>
              <w:t>2025</w:t>
            </w:r>
          </w:p>
        </w:tc>
        <w:tc>
          <w:tcPr>
            <w:tcW w:w="331" w:type="dxa"/>
            <w:tcBorders/>
            <w:vAlign w:val="bottom"/>
          </w:tcPr>
          <w:p>
            <w:pPr>
              <w:pStyle w:val="TableContents"/>
              <w:bidi w:val="0"/>
              <w:spacing w:before="0" w:after="283"/>
              <w:jc w:val="left"/>
              <w:rPr/>
            </w:pPr>
            <w:r>
              <w:rPr/>
              <w:t> </w:t>
            </w:r>
          </w:p>
        </w:tc>
      </w:tr>
      <w:tr>
        <w:trPr/>
        <w:tc>
          <w:tcPr>
            <w:tcW w:w="3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Passengers (itinerary + charter, thousands)</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8"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8"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sz w:val="4"/>
                <w:szCs w:val="4"/>
              </w:rPr>
            </w:pPr>
            <w:r>
              <w:rPr>
                <w:sz w:val="4"/>
                <w:szCs w:val="4"/>
              </w:rPr>
            </w:r>
          </w:p>
        </w:tc>
      </w:tr>
      <w:tr>
        <w:trPr/>
        <w:tc>
          <w:tcPr>
            <w:tcW w:w="3563"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1,334</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1,359</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-1.9</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3,792</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3,910</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-3.0</w:t>
            </w:r>
          </w:p>
        </w:tc>
        <w:tc>
          <w:tcPr>
            <w:tcW w:w="331" w:type="dxa"/>
            <w:tcBorders/>
            <w:vAlign w:val="bottom"/>
          </w:tcPr>
          <w:p>
            <w:pPr>
              <w:pStyle w:val="TableContents"/>
              <w:bidi w:val="0"/>
              <w:spacing w:before="0" w:after="283"/>
              <w:jc w:val="left"/>
              <w:rPr/>
            </w:pPr>
            <w:r>
              <w:rPr/>
              <w:t>% </w:t>
            </w:r>
          </w:p>
        </w:tc>
      </w:tr>
      <w:tr>
        <w:trPr/>
        <w:tc>
          <w:tcPr>
            <w:tcW w:w="3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660</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664</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-0.5</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1,999</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1,967</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1.6</w:t>
            </w:r>
          </w:p>
        </w:tc>
        <w:tc>
          <w:tcPr>
            <w:tcW w:w="331" w:type="dxa"/>
            <w:tcBorders/>
            <w:shd w:fill="CCEEFF" w:val="clear"/>
            <w:vAlign w:val="bottom"/>
          </w:tcPr>
          <w:p>
            <w:pPr>
              <w:pStyle w:val="TableContents"/>
              <w:bidi w:val="0"/>
              <w:spacing w:before="0" w:after="283"/>
              <w:jc w:val="left"/>
              <w:rPr/>
            </w:pPr>
            <w:r>
              <w:rPr/>
              <w:t>% </w:t>
            </w:r>
          </w:p>
        </w:tc>
      </w:tr>
      <w:tr>
        <w:trPr/>
        <w:tc>
          <w:tcPr>
            <w:tcW w:w="356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1,994</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2,023</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b/>
              </w:rPr>
            </w:pPr>
            <w:r>
              <w:rPr>
                <w:b/>
              </w:rPr>
              <w:t>-1.4</w:t>
            </w:r>
          </w:p>
        </w:tc>
        <w:tc>
          <w:tcPr>
            <w:tcW w:w="320" w:type="dxa"/>
            <w:tcBorders/>
            <w:vAlign w:val="bottom"/>
          </w:tcPr>
          <w:p>
            <w:pPr>
              <w:pStyle w:val="TableContents"/>
              <w:bidi w:val="0"/>
              <w:spacing w:before="0" w:after="283"/>
              <w:jc w:val="left"/>
              <w:rPr>
                <w:b/>
              </w:rPr>
            </w:pPr>
            <w:r>
              <w:rPr>
                <w:b/>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5,791</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5,877</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b/>
              </w:rPr>
            </w:pPr>
            <w:r>
              <w:rPr>
                <w:b/>
              </w:rPr>
              <w:t>-1.5</w:t>
            </w:r>
          </w:p>
        </w:tc>
        <w:tc>
          <w:tcPr>
            <w:tcW w:w="331" w:type="dxa"/>
            <w:tcBorders/>
            <w:vAlign w:val="bottom"/>
          </w:tcPr>
          <w:p>
            <w:pPr>
              <w:pStyle w:val="TableContents"/>
              <w:bidi w:val="0"/>
              <w:spacing w:before="0" w:after="283"/>
              <w:jc w:val="left"/>
              <w:rPr>
                <w:b/>
              </w:rPr>
            </w:pPr>
            <w:r>
              <w:rPr>
                <w:b/>
              </w:rPr>
              <w:t>% </w:t>
            </w:r>
          </w:p>
        </w:tc>
      </w:tr>
      <w:tr>
        <w:trPr/>
        <w:tc>
          <w:tcPr>
            <w:tcW w:w="3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ASMs (itinerary + charter, millions)</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8"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8"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sz w:val="4"/>
                <w:szCs w:val="4"/>
              </w:rPr>
            </w:pPr>
            <w:r>
              <w:rPr>
                <w:sz w:val="4"/>
                <w:szCs w:val="4"/>
              </w:rPr>
            </w:r>
          </w:p>
        </w:tc>
      </w:tr>
      <w:tr>
        <w:trPr/>
        <w:tc>
          <w:tcPr>
            <w:tcW w:w="3563"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904</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914</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-1.1</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2,596</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2,670</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-2.8</w:t>
            </w:r>
          </w:p>
        </w:tc>
        <w:tc>
          <w:tcPr>
            <w:tcW w:w="331" w:type="dxa"/>
            <w:tcBorders/>
            <w:vAlign w:val="bottom"/>
          </w:tcPr>
          <w:p>
            <w:pPr>
              <w:pStyle w:val="TableContents"/>
              <w:bidi w:val="0"/>
              <w:spacing w:before="0" w:after="283"/>
              <w:jc w:val="left"/>
              <w:rPr/>
            </w:pPr>
            <w:r>
              <w:rPr/>
              <w:t>% </w:t>
            </w:r>
          </w:p>
        </w:tc>
      </w:tr>
      <w:tr>
        <w:trPr/>
        <w:tc>
          <w:tcPr>
            <w:tcW w:w="3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2,095</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2,056</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1.9</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6,000</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6,027</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-0.4</w:t>
            </w:r>
          </w:p>
        </w:tc>
        <w:tc>
          <w:tcPr>
            <w:tcW w:w="331" w:type="dxa"/>
            <w:tcBorders/>
            <w:shd w:fill="CCEEFF" w:val="clear"/>
            <w:vAlign w:val="bottom"/>
          </w:tcPr>
          <w:p>
            <w:pPr>
              <w:pStyle w:val="TableContents"/>
              <w:bidi w:val="0"/>
              <w:spacing w:before="0" w:after="283"/>
              <w:jc w:val="left"/>
              <w:rPr/>
            </w:pPr>
            <w:r>
              <w:rPr/>
              <w:t>% </w:t>
            </w:r>
          </w:p>
        </w:tc>
      </w:tr>
      <w:tr>
        <w:trPr/>
        <w:tc>
          <w:tcPr>
            <w:tcW w:w="356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2,999</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2,970</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b/>
              </w:rPr>
            </w:pPr>
            <w:r>
              <w:rPr>
                <w:b/>
              </w:rPr>
              <w:t>1.0</w:t>
            </w:r>
          </w:p>
        </w:tc>
        <w:tc>
          <w:tcPr>
            <w:tcW w:w="320" w:type="dxa"/>
            <w:tcBorders/>
            <w:vAlign w:val="bottom"/>
          </w:tcPr>
          <w:p>
            <w:pPr>
              <w:pStyle w:val="TableContents"/>
              <w:bidi w:val="0"/>
              <w:spacing w:before="0" w:after="283"/>
              <w:jc w:val="left"/>
              <w:rPr>
                <w:b/>
              </w:rPr>
            </w:pPr>
            <w:r>
              <w:rPr>
                <w:b/>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8,596</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8,697</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b/>
              </w:rPr>
            </w:pPr>
            <w:r>
              <w:rPr>
                <w:b/>
              </w:rPr>
              <w:t>-1.2</w:t>
            </w:r>
          </w:p>
        </w:tc>
        <w:tc>
          <w:tcPr>
            <w:tcW w:w="331" w:type="dxa"/>
            <w:tcBorders/>
            <w:vAlign w:val="bottom"/>
          </w:tcPr>
          <w:p>
            <w:pPr>
              <w:pStyle w:val="TableContents"/>
              <w:bidi w:val="0"/>
              <w:spacing w:before="0" w:after="283"/>
              <w:jc w:val="left"/>
              <w:rPr>
                <w:b/>
              </w:rPr>
            </w:pPr>
            <w:r>
              <w:rPr>
                <w:b/>
              </w:rPr>
              <w:t>% </w:t>
            </w:r>
          </w:p>
        </w:tc>
      </w:tr>
      <w:tr>
        <w:trPr/>
        <w:tc>
          <w:tcPr>
            <w:tcW w:w="3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RPMs (itinerary + charter, millions)</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8"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8"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sz w:val="4"/>
                <w:szCs w:val="4"/>
              </w:rPr>
            </w:pPr>
            <w:r>
              <w:rPr>
                <w:sz w:val="4"/>
                <w:szCs w:val="4"/>
              </w:rPr>
            </w:r>
          </w:p>
        </w:tc>
      </w:tr>
      <w:tr>
        <w:trPr/>
        <w:tc>
          <w:tcPr>
            <w:tcW w:w="3563"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752</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762</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-1.4</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2,143</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2,210</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-3.0</w:t>
            </w:r>
          </w:p>
        </w:tc>
        <w:tc>
          <w:tcPr>
            <w:tcW w:w="331" w:type="dxa"/>
            <w:tcBorders/>
            <w:vAlign w:val="bottom"/>
          </w:tcPr>
          <w:p>
            <w:pPr>
              <w:pStyle w:val="TableContents"/>
              <w:bidi w:val="0"/>
              <w:spacing w:before="0" w:after="283"/>
              <w:jc w:val="left"/>
              <w:rPr/>
            </w:pPr>
            <w:r>
              <w:rPr/>
              <w:t>% </w:t>
            </w:r>
          </w:p>
        </w:tc>
      </w:tr>
      <w:tr>
        <w:trPr/>
        <w:tc>
          <w:tcPr>
            <w:tcW w:w="3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1,746</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1,694</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3.1</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5,112</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4,948</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3.3</w:t>
            </w:r>
          </w:p>
        </w:tc>
        <w:tc>
          <w:tcPr>
            <w:tcW w:w="331" w:type="dxa"/>
            <w:tcBorders/>
            <w:shd w:fill="CCEEFF" w:val="clear"/>
            <w:vAlign w:val="bottom"/>
          </w:tcPr>
          <w:p>
            <w:pPr>
              <w:pStyle w:val="TableContents"/>
              <w:bidi w:val="0"/>
              <w:spacing w:before="0" w:after="283"/>
              <w:jc w:val="left"/>
              <w:rPr/>
            </w:pPr>
            <w:r>
              <w:rPr/>
              <w:t>% </w:t>
            </w:r>
          </w:p>
        </w:tc>
      </w:tr>
      <w:tr>
        <w:trPr/>
        <w:tc>
          <w:tcPr>
            <w:tcW w:w="356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2,497</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2,456</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b/>
              </w:rPr>
            </w:pPr>
            <w:r>
              <w:rPr>
                <w:b/>
              </w:rPr>
              <w:t>1.7</w:t>
            </w:r>
          </w:p>
        </w:tc>
        <w:tc>
          <w:tcPr>
            <w:tcW w:w="320" w:type="dxa"/>
            <w:tcBorders/>
            <w:vAlign w:val="bottom"/>
          </w:tcPr>
          <w:p>
            <w:pPr>
              <w:pStyle w:val="TableContents"/>
              <w:bidi w:val="0"/>
              <w:spacing w:before="0" w:after="283"/>
              <w:jc w:val="left"/>
              <w:rPr>
                <w:b/>
              </w:rPr>
            </w:pPr>
            <w:r>
              <w:rPr>
                <w:b/>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7,255</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7,158</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b/>
              </w:rPr>
            </w:pPr>
            <w:r>
              <w:rPr>
                <w:b/>
              </w:rPr>
              <w:t>1.4</w:t>
            </w:r>
          </w:p>
        </w:tc>
        <w:tc>
          <w:tcPr>
            <w:tcW w:w="331" w:type="dxa"/>
            <w:tcBorders/>
            <w:vAlign w:val="bottom"/>
          </w:tcPr>
          <w:p>
            <w:pPr>
              <w:pStyle w:val="TableContents"/>
              <w:bidi w:val="0"/>
              <w:spacing w:before="0" w:after="283"/>
              <w:jc w:val="left"/>
              <w:rPr>
                <w:b/>
              </w:rPr>
            </w:pPr>
            <w:r>
              <w:rPr>
                <w:b/>
              </w:rPr>
              <w:t>% </w:t>
            </w:r>
          </w:p>
        </w:tc>
      </w:tr>
      <w:tr>
        <w:trPr/>
        <w:tc>
          <w:tcPr>
            <w:tcW w:w="3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Load Factor (itinerary, %)</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b/>
              </w:rPr>
            </w:pPr>
            <w:r>
              <w:rPr>
                <w:b/>
              </w:rPr>
              <w:t>p.p.</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b/>
              </w:rPr>
            </w:pPr>
            <w:r>
              <w:rPr>
                <w:b/>
              </w:rPr>
              <w:t>p.p.</w:t>
            </w:r>
          </w:p>
        </w:tc>
        <w:tc>
          <w:tcPr>
            <w:tcW w:w="331" w:type="dxa"/>
            <w:tcBorders/>
            <w:shd w:fill="CCEEFF" w:val="clear"/>
            <w:vAlign w:val="bottom"/>
          </w:tcPr>
          <w:p>
            <w:pPr>
              <w:pStyle w:val="TableContents"/>
              <w:bidi w:val="0"/>
              <w:spacing w:before="0" w:after="283"/>
              <w:jc w:val="left"/>
              <w:rPr/>
            </w:pPr>
            <w:r>
              <w:rPr/>
              <w:t> </w:t>
            </w:r>
          </w:p>
        </w:tc>
      </w:tr>
      <w:tr>
        <w:trPr/>
        <w:tc>
          <w:tcPr>
            <w:tcW w:w="3563"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83.2</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83.3</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-0.2</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82.6</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82.8</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-0.2</w:t>
            </w:r>
          </w:p>
        </w:tc>
        <w:tc>
          <w:tcPr>
            <w:tcW w:w="331" w:type="dxa"/>
            <w:tcBorders/>
            <w:vAlign w:val="bottom"/>
          </w:tcPr>
          <w:p>
            <w:pPr>
              <w:pStyle w:val="TableContents"/>
              <w:bidi w:val="0"/>
              <w:spacing w:before="0" w:after="283"/>
              <w:jc w:val="left"/>
              <w:rPr/>
            </w:pPr>
            <w:r>
              <w:rPr/>
              <w:t> </w:t>
            </w:r>
          </w:p>
        </w:tc>
      </w:tr>
      <w:tr>
        <w:trPr/>
        <w:tc>
          <w:tcPr>
            <w:tcW w:w="3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83.4</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82.4</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1.0</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85.2</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82.1</w:t>
            </w:r>
          </w:p>
        </w:tc>
        <w:tc>
          <w:tcPr>
            <w:tcW w:w="3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3.1</w:t>
            </w:r>
          </w:p>
        </w:tc>
        <w:tc>
          <w:tcPr>
            <w:tcW w:w="331" w:type="dxa"/>
            <w:tcBorders/>
            <w:shd w:fill="CCEEFF" w:val="clear"/>
            <w:vAlign w:val="bottom"/>
          </w:tcPr>
          <w:p>
            <w:pPr>
              <w:pStyle w:val="TableContents"/>
              <w:bidi w:val="0"/>
              <w:spacing w:before="0" w:after="283"/>
              <w:jc w:val="left"/>
              <w:rPr/>
            </w:pPr>
            <w:r>
              <w:rPr/>
              <w:t> </w:t>
            </w:r>
          </w:p>
        </w:tc>
      </w:tr>
      <w:tr>
        <w:trPr/>
        <w:tc>
          <w:tcPr>
            <w:tcW w:w="356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83.3</w:t>
            </w:r>
          </w:p>
        </w:tc>
        <w:tc>
          <w:tcPr>
            <w:tcW w:w="320" w:type="dxa"/>
            <w:tcBorders/>
            <w:vAlign w:val="bottom"/>
          </w:tcPr>
          <w:p>
            <w:pPr>
              <w:pStyle w:val="TableContents"/>
              <w:bidi w:val="0"/>
              <w:spacing w:before="0" w:after="283"/>
              <w:jc w:val="left"/>
              <w:rPr>
                <w:b/>
              </w:rPr>
            </w:pPr>
            <w:r>
              <w:rPr>
                <w:b/>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82.7</w:t>
            </w:r>
          </w:p>
        </w:tc>
        <w:tc>
          <w:tcPr>
            <w:tcW w:w="320" w:type="dxa"/>
            <w:tcBorders/>
            <w:vAlign w:val="bottom"/>
          </w:tcPr>
          <w:p>
            <w:pPr>
              <w:pStyle w:val="TableContents"/>
              <w:bidi w:val="0"/>
              <w:spacing w:before="0" w:after="283"/>
              <w:jc w:val="left"/>
              <w:rPr>
                <w:b/>
              </w:rPr>
            </w:pPr>
            <w:r>
              <w:rPr>
                <w:b/>
              </w:rPr>
              <w:t>%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b/>
              </w:rPr>
            </w:pPr>
            <w:r>
              <w:rPr>
                <w:b/>
              </w:rPr>
              <w:t>0.6</w:t>
            </w:r>
          </w:p>
        </w:tc>
        <w:tc>
          <w:tcPr>
            <w:tcW w:w="3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84.4</w:t>
            </w:r>
          </w:p>
        </w:tc>
        <w:tc>
          <w:tcPr>
            <w:tcW w:w="320" w:type="dxa"/>
            <w:tcBorders/>
            <w:vAlign w:val="bottom"/>
          </w:tcPr>
          <w:p>
            <w:pPr>
              <w:pStyle w:val="TableContents"/>
              <w:bidi w:val="0"/>
              <w:spacing w:before="0" w:after="283"/>
              <w:jc w:val="left"/>
              <w:rPr>
                <w:b/>
              </w:rPr>
            </w:pPr>
            <w:r>
              <w:rPr>
                <w:b/>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82.3</w:t>
            </w:r>
          </w:p>
        </w:tc>
        <w:tc>
          <w:tcPr>
            <w:tcW w:w="320" w:type="dxa"/>
            <w:tcBorders/>
            <w:vAlign w:val="bottom"/>
          </w:tcPr>
          <w:p>
            <w:pPr>
              <w:pStyle w:val="TableContents"/>
              <w:bidi w:val="0"/>
              <w:spacing w:before="0" w:after="283"/>
              <w:jc w:val="left"/>
              <w:rPr>
                <w:b/>
              </w:rPr>
            </w:pPr>
            <w:r>
              <w:rPr>
                <w:b/>
              </w:rPr>
              <w:t>%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b/>
              </w:rPr>
            </w:pPr>
            <w:r>
              <w:rPr>
                <w:b/>
              </w:rPr>
              <w:t>2.1</w:t>
            </w:r>
          </w:p>
        </w:tc>
        <w:tc>
          <w:tcPr>
            <w:tcW w:w="331"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Figures may not sum to total due to rounding.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990600" cy="2762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90600" cy="2762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The information included within this report has not been audited and does not provide information on the Company’s future performance. Aeromexico’s future performance depends on many factors and it cannot be inferred that any period’s performance or its year-over-year comparison will be an indicator of similar future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Glossary: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u w:val="single"/>
              </w:rPr>
              <w:t>“</w:t>
            </w:r>
            <w:r>
              <w:rPr>
                <w:rFonts w:ascii="Times New Roman" w:hAnsi="Times New Roman"/>
                <w:sz w:val="20"/>
                <w:u w:val="single"/>
              </w:rPr>
              <w:t>RPMs”</w:t>
            </w:r>
            <w:r>
              <w:rPr>
                <w:rFonts w:ascii="Times New Roman" w:hAnsi="Times New Roman"/>
                <w:sz w:val="20"/>
              </w:rPr>
              <w:t xml:space="preserve"> Revenue Passenger Miles represent one revenue-passenger transported one mile. This includes itinerary and charter flights. The total RPMs equals the number of revenue-passengers transported multiplied by the total distance flown.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u w:val="single"/>
              </w:rPr>
              <w:t>“</w:t>
            </w:r>
            <w:r>
              <w:rPr>
                <w:rFonts w:ascii="Times New Roman" w:hAnsi="Times New Roman"/>
                <w:sz w:val="20"/>
                <w:u w:val="single"/>
              </w:rPr>
              <w:t>ASMs”</w:t>
            </w:r>
            <w:r>
              <w:rPr>
                <w:rFonts w:ascii="Times New Roman" w:hAnsi="Times New Roman"/>
                <w:sz w:val="20"/>
              </w:rPr>
              <w:t xml:space="preserve"> Available Seat Miles represent the number of available seats multiplied by the distance flown. This metric is an indicator of the airline’s capacity. It equals one seat offered for one mile, whether the seat is used.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u w:val="single"/>
              </w:rPr>
              <w:t>“</w:t>
            </w:r>
            <w:r>
              <w:rPr>
                <w:rFonts w:ascii="Times New Roman" w:hAnsi="Times New Roman"/>
                <w:sz w:val="20"/>
                <w:u w:val="single"/>
              </w:rPr>
              <w:t>Load Factor”</w:t>
            </w:r>
            <w:r>
              <w:rPr>
                <w:rFonts w:ascii="Times New Roman" w:hAnsi="Times New Roman"/>
                <w:sz w:val="20"/>
              </w:rPr>
              <w:t xml:space="preserve"> equals the number of passengers transported as a percentage of the number of seats offered. It is a measure of the airline’s capacity utilization. This metric considers the total passengers transported and total seats available in itinerary flights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u w:val="single"/>
              </w:rPr>
              <w:t>“</w:t>
            </w:r>
            <w:r>
              <w:rPr>
                <w:rFonts w:ascii="Times New Roman" w:hAnsi="Times New Roman"/>
                <w:sz w:val="20"/>
                <w:u w:val="single"/>
              </w:rPr>
              <w:t>Passengers”</w:t>
            </w:r>
            <w:r>
              <w:rPr>
                <w:rFonts w:ascii="Times New Roman" w:hAnsi="Times New Roman"/>
                <w:sz w:val="20"/>
              </w:rPr>
              <w:t xml:space="preserve"> refers to the total number of passengers transported by the airline.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This press release contains certain forward-looking statements that reflect the current views and/or expectations of the Company and its management with respect to its performance, business and future events. We use words such as “believe,” “anticipate,” “plan,” “expect,”, “intend,” “target,” “estimate,” “project,” “predict,” “forecast,” “guideline,” “should” and other similar expressions to identify forward-looking statements, but they are not the only way we identify such statements. Such statements are subject to a number of risks, uncertainties and assumptions. We caution you that a number of important factors could cause actual results to differ materially from the plans, objectives, expectations, estimates and intentions expressed in this release. The Company is under no obligation and expressly disclaims any intention or obligation to update or revise any forward-looking statements, whether as a result of new information, future events or otherwise. </w:t>
      </w:r>
    </w:p>
    <w:p>
      <w:pPr>
        <w:pStyle w:val="TextBody"/>
        <w:bidi w:val="0"/>
        <w:spacing w:before="240" w:after="0"/>
        <w:jc w:val="left"/>
        <w:rPr>
          <w:rFonts w:ascii="Times New Roman" w:hAnsi="Times New Roman"/>
          <w:b/>
          <w:i/>
          <w:sz w:val="20"/>
        </w:rPr>
      </w:pPr>
      <w:r>
        <w:rPr>
          <w:rFonts w:ascii="Times New Roman" w:hAnsi="Times New Roman"/>
          <w:b/>
          <w:i/>
          <w:sz w:val="20"/>
        </w:rPr>
        <w:t xml:space="preserve">About Grupo Aeroméxico </w:t>
      </w:r>
    </w:p>
    <w:p>
      <w:pPr>
        <w:pStyle w:val="TextBody"/>
        <w:bidi w:val="0"/>
        <w:spacing w:before="120" w:after="0"/>
        <w:jc w:val="left"/>
        <w:rPr>
          <w:rFonts w:ascii="Times New Roman" w:hAnsi="Times New Roman"/>
          <w:i/>
          <w:sz w:val="20"/>
        </w:rPr>
      </w:pPr>
      <w:r>
        <w:rPr>
          <w:rFonts w:ascii="Times New Roman" w:hAnsi="Times New Roman"/>
          <w:i/>
          <w:sz w:val="20"/>
        </w:rPr>
        <w:t xml:space="preserve">Grupo Aeroméxico, S.A.B. de C.V., is a holding company whose subsidiaries are engaged in commercial aviation in Mexico and in the promotion of passenger loyalty programs. Aeroméxico, Mexico’s global airline, operates primarily out of Terminal 2 of the Mexico City International Airport. Its destination network extends across Mexico, the United States, Canada, Central America, South America, Asia, and Europe. Aeroméxico’s current operating fleet includes Boeing 787 and 737 aircraft, as well as Embraer 190. Aeroméxico is a founding member of SkyTeam, an alliance celebrating 25 years and offering connectivity across more than 145 countries through its 18 partner airlines. </w:t>
      </w:r>
    </w:p>
    <w:p>
      <w:pPr>
        <w:pStyle w:val="TextBody"/>
        <w:bidi w:val="0"/>
        <w:spacing w:before="240" w:after="0"/>
        <w:jc w:val="left"/>
        <w:rPr>
          <w:rFonts w:ascii="Times New Roman" w:hAnsi="Times New Roman"/>
          <w:i/>
          <w:sz w:val="20"/>
        </w:rPr>
      </w:pPr>
      <w:r>
        <w:rPr>
          <w:rFonts w:ascii="Times New Roman" w:hAnsi="Times New Roman"/>
          <w:i/>
          <w:sz w:val="20"/>
        </w:rPr>
        <w:t xml:space="preserve">www.aeromexico.com </w:t>
      </w:r>
    </w:p>
    <w:p>
      <w:pPr>
        <w:pStyle w:val="TextBody"/>
        <w:bidi w:val="0"/>
        <w:spacing w:before="0" w:after="0"/>
        <w:jc w:val="left"/>
        <w:rPr>
          <w:rFonts w:ascii="Times New Roman" w:hAnsi="Times New Roman"/>
          <w:i/>
          <w:sz w:val="20"/>
        </w:rPr>
      </w:pPr>
      <w:r>
        <w:rPr>
          <w:rFonts w:ascii="Times New Roman" w:hAnsi="Times New Roman"/>
          <w:i/>
          <w:sz w:val="20"/>
        </w:rPr>
        <w:t xml:space="preserve">www.skyteam.com </w:t>
      </w:r>
    </w:p>
    <w:p>
      <w:pPr>
        <w:pStyle w:val="TextBody"/>
        <w:bidi w:val="0"/>
        <w:spacing w:before="0" w:after="0"/>
        <w:jc w:val="left"/>
        <w:rPr/>
      </w:pPr>
      <w:r>
        <w:rPr/>
        <w:t> </w:t>
      </w:r>
    </w:p>
    <w:p>
      <w:pPr>
        <w:pStyle w:val="TextBody"/>
        <w:bidi w:val="0"/>
        <w:spacing w:before="0" w:after="0"/>
        <w:jc w:val="center"/>
        <w:rPr/>
      </w:pPr>
      <w:r>
        <w:rPr/>
        <w:drawing>
          <wp:inline distT="0" distB="0" distL="0" distR="0">
            <wp:extent cx="847725" cy="1238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47725" cy="1238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image" Target="media/image5.jpeg"/><Relationship Id="rId18" Type="http://schemas.openxmlformats.org/officeDocument/2006/relationships/image" Target="media/image6.jpeg"/><Relationship Id="rId19" Type="http://schemas.openxmlformats.org/officeDocument/2006/relationships/image" Target="media/image7.jpeg"/><Relationship Id="rId20" Type="http://schemas.openxmlformats.org/officeDocument/2006/relationships/image" Target="media/image8.jpeg"/><Relationship Id="rId21" Type="http://schemas.openxmlformats.org/officeDocument/2006/relationships/image" Target="media/image9.jpeg"/><Relationship Id="rId22" Type="http://schemas.openxmlformats.org/officeDocument/2006/relationships/image" Target="media/image10.jpeg"/><Relationship Id="rId23" Type="http://schemas.openxmlformats.org/officeDocument/2006/relationships/image" Target="media/image11.jpeg"/><Relationship Id="rId24" Type="http://schemas.openxmlformats.org/officeDocument/2006/relationships/image" Target="media/image12.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6333</Words>
  <Characters>35013</Characters>
  <CharactersWithSpaces>42649</CharactersWithSpaces>
  <Paragraphs>3044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EX-99.4</dc:title>
</cp:coreProperties>
</file>