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2634d6k.htm"/>
      <w:bookmarkStart w:id="1" w:name="ksd112634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001-42931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Grupo Aeroméxico, S.A.B. de C.V.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w:t>
      </w:r>
    </w:p>
    <w:p>
      <w:pPr>
        <w:pStyle w:val="TextBody"/>
        <w:bidi w:val="0"/>
        <w:spacing w:before="240" w:after="0"/>
        <w:jc w:val="center"/>
        <w:rPr>
          <w:rFonts w:ascii="Times New Roman" w:hAnsi="Times New Roman"/>
          <w:b/>
          <w:sz w:val="48"/>
        </w:rPr>
      </w:pPr>
      <w:r>
        <w:rPr>
          <w:rFonts w:ascii="Times New Roman" w:hAnsi="Times New Roman"/>
          <w:b/>
          <w:sz w:val="48"/>
        </w:rPr>
        <w:t xml:space="preserve">Aeromexico Group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Avenida Paseo de la Reforma 243, 25th Floor </w:t>
      </w:r>
    </w:p>
    <w:p>
      <w:pPr>
        <w:pStyle w:val="TextBody"/>
        <w:bidi w:val="0"/>
        <w:spacing w:before="0" w:after="0"/>
        <w:jc w:val="center"/>
        <w:rPr>
          <w:rFonts w:ascii="Times New Roman" w:hAnsi="Times New Roman"/>
          <w:b/>
          <w:sz w:val="20"/>
        </w:rPr>
      </w:pPr>
      <w:r>
        <w:rPr>
          <w:rFonts w:ascii="Times New Roman" w:hAnsi="Times New Roman"/>
          <w:b/>
          <w:sz w:val="20"/>
        </w:rPr>
        <w:t xml:space="preserve">Col. Cuauhtémoc, Cuauhtémoc 06500 </w:t>
      </w:r>
    </w:p>
    <w:p>
      <w:pPr>
        <w:pStyle w:val="TextBody"/>
        <w:bidi w:val="0"/>
        <w:spacing w:before="0" w:after="0"/>
        <w:jc w:val="center"/>
        <w:rPr>
          <w:rFonts w:ascii="Times New Roman" w:hAnsi="Times New Roman"/>
          <w:b/>
          <w:sz w:val="20"/>
        </w:rPr>
      </w:pPr>
      <w:r>
        <w:rPr>
          <w:rFonts w:ascii="Times New Roman" w:hAnsi="Times New Roman"/>
          <w:b/>
          <w:sz w:val="20"/>
        </w:rPr>
        <w:t xml:space="preserve">Mexico City, Mexico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July 13, 2026, Grupo Aeroméxico, S.A.B. de C.V. (the “Company”) issued a press release titled “Aeroméxico Reports Unaudited Second Quarter 2026 Results.” A copy of this press release is furnished with this Form 6-K as Exhibit 99.1.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previously issued press releases containing April 2026 traffic results, May 2026 traffic results and June 2026 traffic results. Copies of these press releases are furnished with this Form 6-K as exhibits 99.2, 99.3 and 99.4, respectively.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7"/>
        <w:gridCol w:w="431"/>
        <w:gridCol w:w="9037"/>
      </w:tblGrid>
      <w:tr>
        <w:trPr/>
        <w:tc>
          <w:tcPr>
            <w:tcW w:w="737" w:type="dxa"/>
            <w:tcBorders/>
            <w:vAlign w:val="center"/>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9037" w:type="dxa"/>
            <w:tcBorders/>
            <w:vAlign w:val="center"/>
          </w:tcPr>
          <w:p>
            <w:pPr>
              <w:pStyle w:val="TableContents"/>
              <w:bidi w:val="0"/>
              <w:spacing w:before="0" w:after="283"/>
              <w:jc w:val="left"/>
              <w:rPr>
                <w:sz w:val="4"/>
                <w:szCs w:val="4"/>
              </w:rPr>
            </w:pPr>
            <w:r>
              <w:rPr>
                <w:sz w:val="4"/>
                <w:szCs w:val="4"/>
              </w:rPr>
            </w:r>
          </w:p>
        </w:tc>
      </w:tr>
      <w:tr>
        <w:trPr/>
        <w:tc>
          <w:tcPr>
            <w:tcW w:w="737" w:type="dxa"/>
            <w:tcBorders>
              <w:bottom w:val="single" w:sz="8" w:space="0" w:color="000000"/>
            </w:tcBorders>
            <w:tcMar>
              <w:bottom w:w="28" w:type="dxa"/>
            </w:tcMar>
            <w:vAlign w:val="bottom"/>
          </w:tcPr>
          <w:p>
            <w:pPr>
              <w:pStyle w:val="TableContents"/>
              <w:bidi w:val="0"/>
              <w:spacing w:before="0" w:after="283"/>
              <w:jc w:val="center"/>
              <w:rPr/>
            </w:pPr>
            <w:r>
              <w:rPr/>
              <w:t>Exhibit</w:t>
            </w:r>
          </w:p>
        </w:tc>
        <w:tc>
          <w:tcPr>
            <w:tcW w:w="431" w:type="dxa"/>
            <w:tcBorders/>
            <w:vAlign w:val="bottom"/>
          </w:tcPr>
          <w:p>
            <w:pPr>
              <w:pStyle w:val="TableContents"/>
              <w:bidi w:val="0"/>
              <w:spacing w:before="0" w:after="283"/>
              <w:jc w:val="left"/>
              <w:rPr/>
            </w:pPr>
            <w:r>
              <w:rPr/>
              <w:t>  </w:t>
            </w:r>
          </w:p>
        </w:tc>
        <w:tc>
          <w:tcPr>
            <w:tcW w:w="903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Description</w:t>
            </w:r>
          </w:p>
        </w:tc>
      </w:tr>
      <w:tr>
        <w:trPr>
          <w:trHeight w:val="120" w:hRule="atLeast"/>
        </w:trPr>
        <w:tc>
          <w:tcPr>
            <w:tcW w:w="737" w:type="dxa"/>
            <w:tcBorders/>
            <w:vAlign w:val="center"/>
          </w:tcPr>
          <w:p>
            <w:pPr>
              <w:pStyle w:val="TableContents"/>
              <w:bidi w:val="0"/>
              <w:spacing w:before="0" w:after="283"/>
              <w:jc w:val="left"/>
              <w:rPr>
                <w:sz w:val="4"/>
                <w:szCs w:val="4"/>
              </w:rPr>
            </w:pPr>
            <w:r>
              <w:rPr>
                <w:sz w:val="4"/>
                <w:szCs w:val="4"/>
              </w:rPr>
            </w:r>
          </w:p>
        </w:tc>
        <w:tc>
          <w:tcPr>
            <w:tcW w:w="9468" w:type="dxa"/>
            <w:gridSpan w:val="2"/>
            <w:tcBorders/>
            <w:vAlign w:val="center"/>
          </w:tcPr>
          <w:p>
            <w:pPr>
              <w:pStyle w:val="TableContents"/>
              <w:bidi w:val="0"/>
              <w:spacing w:before="0" w:after="283"/>
              <w:jc w:val="left"/>
              <w:rPr>
                <w:sz w:val="4"/>
                <w:szCs w:val="4"/>
              </w:rPr>
            </w:pPr>
            <w:r>
              <w:rPr>
                <w:sz w:val="4"/>
                <w:szCs w:val="4"/>
              </w:rPr>
            </w:r>
          </w:p>
        </w:tc>
      </w:tr>
      <w:tr>
        <w:trPr/>
        <w:tc>
          <w:tcPr>
            <w:tcW w:w="737" w:type="dxa"/>
            <w:tcBorders/>
          </w:tcPr>
          <w:p>
            <w:pPr>
              <w:pStyle w:val="TableContents"/>
              <w:bidi w:val="0"/>
              <w:spacing w:before="0" w:after="283"/>
              <w:jc w:val="left"/>
              <w:rPr/>
            </w:pPr>
            <w:r>
              <w:rPr/>
              <w:t>99.1</w:t>
            </w:r>
          </w:p>
        </w:tc>
        <w:tc>
          <w:tcPr>
            <w:tcW w:w="431" w:type="dxa"/>
            <w:tcBorders/>
            <w:vAlign w:val="bottom"/>
          </w:tcPr>
          <w:p>
            <w:pPr>
              <w:pStyle w:val="TableContents"/>
              <w:bidi w:val="0"/>
              <w:spacing w:before="0" w:after="283"/>
              <w:jc w:val="left"/>
              <w:rPr/>
            </w:pPr>
            <w:r>
              <w:rPr/>
              <w:t>  </w:t>
            </w:r>
          </w:p>
        </w:tc>
        <w:tc>
          <w:tcPr>
            <w:tcW w:w="9037" w:type="dxa"/>
            <w:tcBorders/>
          </w:tcPr>
          <w:p>
            <w:pPr>
              <w:pStyle w:val="TableContents"/>
              <w:bidi w:val="0"/>
              <w:spacing w:before="0" w:after="283"/>
              <w:jc w:val="left"/>
              <w:rPr/>
            </w:pPr>
            <w:r>
              <w:rPr/>
              <w:t>Press Release dated July 13, 2026, titled “Aeroméxico Reports Unaudited Second Quarter 2026 Results.”</w:t>
            </w:r>
          </w:p>
        </w:tc>
      </w:tr>
      <w:tr>
        <w:trPr>
          <w:trHeight w:val="120" w:hRule="atLeast"/>
        </w:trPr>
        <w:tc>
          <w:tcPr>
            <w:tcW w:w="737" w:type="dxa"/>
            <w:tcBorders/>
            <w:vAlign w:val="center"/>
          </w:tcPr>
          <w:p>
            <w:pPr>
              <w:pStyle w:val="TableContents"/>
              <w:bidi w:val="0"/>
              <w:spacing w:before="0" w:after="283"/>
              <w:jc w:val="left"/>
              <w:rPr>
                <w:sz w:val="4"/>
                <w:szCs w:val="4"/>
              </w:rPr>
            </w:pPr>
            <w:r>
              <w:rPr>
                <w:sz w:val="4"/>
                <w:szCs w:val="4"/>
              </w:rPr>
            </w:r>
          </w:p>
        </w:tc>
        <w:tc>
          <w:tcPr>
            <w:tcW w:w="9468" w:type="dxa"/>
            <w:gridSpan w:val="2"/>
            <w:tcBorders/>
            <w:vAlign w:val="center"/>
          </w:tcPr>
          <w:p>
            <w:pPr>
              <w:pStyle w:val="TableContents"/>
              <w:bidi w:val="0"/>
              <w:spacing w:before="0" w:after="283"/>
              <w:jc w:val="left"/>
              <w:rPr>
                <w:sz w:val="4"/>
                <w:szCs w:val="4"/>
              </w:rPr>
            </w:pPr>
            <w:r>
              <w:rPr>
                <w:sz w:val="4"/>
                <w:szCs w:val="4"/>
              </w:rPr>
            </w:r>
          </w:p>
        </w:tc>
      </w:tr>
      <w:tr>
        <w:trPr/>
        <w:tc>
          <w:tcPr>
            <w:tcW w:w="737" w:type="dxa"/>
            <w:tcBorders/>
          </w:tcPr>
          <w:p>
            <w:pPr>
              <w:pStyle w:val="TableContents"/>
              <w:bidi w:val="0"/>
              <w:spacing w:before="0" w:after="283"/>
              <w:jc w:val="left"/>
              <w:rPr/>
            </w:pPr>
            <w:r>
              <w:rPr/>
              <w:t>99.2</w:t>
            </w:r>
          </w:p>
        </w:tc>
        <w:tc>
          <w:tcPr>
            <w:tcW w:w="431" w:type="dxa"/>
            <w:tcBorders/>
            <w:vAlign w:val="bottom"/>
          </w:tcPr>
          <w:p>
            <w:pPr>
              <w:pStyle w:val="TableContents"/>
              <w:bidi w:val="0"/>
              <w:spacing w:before="0" w:after="283"/>
              <w:jc w:val="left"/>
              <w:rPr/>
            </w:pPr>
            <w:r>
              <w:rPr/>
              <w:t>  </w:t>
            </w:r>
          </w:p>
        </w:tc>
        <w:tc>
          <w:tcPr>
            <w:tcW w:w="9037" w:type="dxa"/>
            <w:tcBorders/>
          </w:tcPr>
          <w:p>
            <w:pPr>
              <w:pStyle w:val="TableContents"/>
              <w:bidi w:val="0"/>
              <w:spacing w:before="0" w:after="283"/>
              <w:jc w:val="left"/>
              <w:rPr/>
            </w:pPr>
            <w:r>
              <w:rPr/>
              <w:t>Press Release dated May 7, 2026, titled “Aeroméxico April 2026 Traffic Results.”</w:t>
            </w:r>
          </w:p>
        </w:tc>
      </w:tr>
      <w:tr>
        <w:trPr>
          <w:trHeight w:val="120" w:hRule="atLeast"/>
        </w:trPr>
        <w:tc>
          <w:tcPr>
            <w:tcW w:w="737" w:type="dxa"/>
            <w:tcBorders/>
            <w:vAlign w:val="center"/>
          </w:tcPr>
          <w:p>
            <w:pPr>
              <w:pStyle w:val="TableContents"/>
              <w:bidi w:val="0"/>
              <w:spacing w:before="0" w:after="283"/>
              <w:jc w:val="left"/>
              <w:rPr>
                <w:sz w:val="4"/>
                <w:szCs w:val="4"/>
              </w:rPr>
            </w:pPr>
            <w:r>
              <w:rPr>
                <w:sz w:val="4"/>
                <w:szCs w:val="4"/>
              </w:rPr>
            </w:r>
          </w:p>
        </w:tc>
        <w:tc>
          <w:tcPr>
            <w:tcW w:w="9468" w:type="dxa"/>
            <w:gridSpan w:val="2"/>
            <w:tcBorders/>
            <w:vAlign w:val="center"/>
          </w:tcPr>
          <w:p>
            <w:pPr>
              <w:pStyle w:val="TableContents"/>
              <w:bidi w:val="0"/>
              <w:spacing w:before="0" w:after="283"/>
              <w:jc w:val="left"/>
              <w:rPr>
                <w:sz w:val="4"/>
                <w:szCs w:val="4"/>
              </w:rPr>
            </w:pPr>
            <w:r>
              <w:rPr>
                <w:sz w:val="4"/>
                <w:szCs w:val="4"/>
              </w:rPr>
            </w:r>
          </w:p>
        </w:tc>
      </w:tr>
      <w:tr>
        <w:trPr/>
        <w:tc>
          <w:tcPr>
            <w:tcW w:w="737" w:type="dxa"/>
            <w:tcBorders/>
          </w:tcPr>
          <w:p>
            <w:pPr>
              <w:pStyle w:val="TableContents"/>
              <w:bidi w:val="0"/>
              <w:spacing w:before="0" w:after="283"/>
              <w:jc w:val="left"/>
              <w:rPr/>
            </w:pPr>
            <w:r>
              <w:rPr/>
              <w:t>99.3</w:t>
            </w:r>
          </w:p>
        </w:tc>
        <w:tc>
          <w:tcPr>
            <w:tcW w:w="431" w:type="dxa"/>
            <w:tcBorders/>
            <w:vAlign w:val="bottom"/>
          </w:tcPr>
          <w:p>
            <w:pPr>
              <w:pStyle w:val="TableContents"/>
              <w:bidi w:val="0"/>
              <w:spacing w:before="0" w:after="283"/>
              <w:jc w:val="left"/>
              <w:rPr/>
            </w:pPr>
            <w:r>
              <w:rPr/>
              <w:t>  </w:t>
            </w:r>
          </w:p>
        </w:tc>
        <w:tc>
          <w:tcPr>
            <w:tcW w:w="9037" w:type="dxa"/>
            <w:tcBorders/>
          </w:tcPr>
          <w:p>
            <w:pPr>
              <w:pStyle w:val="TableContents"/>
              <w:bidi w:val="0"/>
              <w:spacing w:before="0" w:after="283"/>
              <w:jc w:val="left"/>
              <w:rPr/>
            </w:pPr>
            <w:r>
              <w:rPr/>
              <w:t>Press Release dated June 4, 2026, titled “Aeroméxico May 2026 Traffic Results.”</w:t>
            </w:r>
          </w:p>
        </w:tc>
      </w:tr>
      <w:tr>
        <w:trPr>
          <w:trHeight w:val="120" w:hRule="atLeast"/>
        </w:trPr>
        <w:tc>
          <w:tcPr>
            <w:tcW w:w="737" w:type="dxa"/>
            <w:tcBorders/>
            <w:vAlign w:val="center"/>
          </w:tcPr>
          <w:p>
            <w:pPr>
              <w:pStyle w:val="TableContents"/>
              <w:bidi w:val="0"/>
              <w:spacing w:before="0" w:after="283"/>
              <w:jc w:val="left"/>
              <w:rPr>
                <w:sz w:val="4"/>
                <w:szCs w:val="4"/>
              </w:rPr>
            </w:pPr>
            <w:r>
              <w:rPr>
                <w:sz w:val="4"/>
                <w:szCs w:val="4"/>
              </w:rPr>
            </w:r>
          </w:p>
        </w:tc>
        <w:tc>
          <w:tcPr>
            <w:tcW w:w="9468" w:type="dxa"/>
            <w:gridSpan w:val="2"/>
            <w:tcBorders/>
            <w:vAlign w:val="center"/>
          </w:tcPr>
          <w:p>
            <w:pPr>
              <w:pStyle w:val="TableContents"/>
              <w:bidi w:val="0"/>
              <w:spacing w:before="0" w:after="283"/>
              <w:jc w:val="left"/>
              <w:rPr>
                <w:sz w:val="4"/>
                <w:szCs w:val="4"/>
              </w:rPr>
            </w:pPr>
            <w:r>
              <w:rPr>
                <w:sz w:val="4"/>
                <w:szCs w:val="4"/>
              </w:rPr>
            </w:r>
          </w:p>
        </w:tc>
      </w:tr>
      <w:tr>
        <w:trPr/>
        <w:tc>
          <w:tcPr>
            <w:tcW w:w="737" w:type="dxa"/>
            <w:tcBorders/>
          </w:tcPr>
          <w:p>
            <w:pPr>
              <w:pStyle w:val="TableContents"/>
              <w:bidi w:val="0"/>
              <w:spacing w:before="0" w:after="283"/>
              <w:jc w:val="left"/>
              <w:rPr/>
            </w:pPr>
            <w:r>
              <w:rPr/>
              <w:t>99.4</w:t>
            </w:r>
          </w:p>
        </w:tc>
        <w:tc>
          <w:tcPr>
            <w:tcW w:w="431" w:type="dxa"/>
            <w:tcBorders/>
            <w:vAlign w:val="bottom"/>
          </w:tcPr>
          <w:p>
            <w:pPr>
              <w:pStyle w:val="TableContents"/>
              <w:bidi w:val="0"/>
              <w:spacing w:before="0" w:after="283"/>
              <w:jc w:val="left"/>
              <w:rPr/>
            </w:pPr>
            <w:r>
              <w:rPr/>
              <w:t>  </w:t>
            </w:r>
          </w:p>
        </w:tc>
        <w:tc>
          <w:tcPr>
            <w:tcW w:w="9037" w:type="dxa"/>
            <w:tcBorders/>
          </w:tcPr>
          <w:p>
            <w:pPr>
              <w:pStyle w:val="TableContents"/>
              <w:bidi w:val="0"/>
              <w:spacing w:before="0" w:after="283"/>
              <w:jc w:val="left"/>
              <w:rPr/>
            </w:pPr>
            <w:r>
              <w:rPr/>
              <w:t>Press Release dated July 2, 2026, titled “Aeroméxico June 2026 Traffic Results.”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55"/>
        <w:gridCol w:w="108"/>
        <w:gridCol w:w="393"/>
        <w:gridCol w:w="108"/>
        <w:gridCol w:w="596"/>
        <w:gridCol w:w="108"/>
        <w:gridCol w:w="4437"/>
      </w:tblGrid>
      <w:tr>
        <w:trPr/>
        <w:tc>
          <w:tcPr>
            <w:tcW w:w="445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437" w:type="dxa"/>
            <w:tcBorders/>
            <w:vAlign w:val="center"/>
          </w:tcPr>
          <w:p>
            <w:pPr>
              <w:pStyle w:val="TableContents"/>
              <w:bidi w:val="0"/>
              <w:spacing w:before="0" w:after="283"/>
              <w:jc w:val="left"/>
              <w:rPr>
                <w:sz w:val="4"/>
                <w:szCs w:val="4"/>
              </w:rPr>
            </w:pPr>
            <w:r>
              <w:rPr>
                <w:sz w:val="4"/>
                <w:szCs w:val="4"/>
              </w:rPr>
            </w:r>
          </w:p>
        </w:tc>
      </w:tr>
      <w:tr>
        <w:trPr/>
        <w:tc>
          <w:tcPr>
            <w:tcW w:w="445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141" w:type="dxa"/>
            <w:gridSpan w:val="3"/>
            <w:tcBorders/>
          </w:tcPr>
          <w:p>
            <w:pPr>
              <w:pStyle w:val="TableContents"/>
              <w:bidi w:val="0"/>
              <w:spacing w:before="0" w:after="283"/>
              <w:jc w:val="left"/>
              <w:rPr>
                <w:b/>
              </w:rPr>
            </w:pPr>
            <w:r>
              <w:rPr>
                <w:b/>
              </w:rPr>
              <w:t>Grupo Aeroméxico, S.A.B. de C.V.</w:t>
            </w:r>
          </w:p>
        </w:tc>
      </w:tr>
      <w:tr>
        <w:trPr>
          <w:trHeight w:val="240" w:hRule="atLeast"/>
        </w:trPr>
        <w:tc>
          <w:tcPr>
            <w:tcW w:w="4455" w:type="dxa"/>
            <w:tcBorders/>
            <w:vAlign w:val="center"/>
          </w:tcPr>
          <w:p>
            <w:pPr>
              <w:pStyle w:val="TableContents"/>
              <w:bidi w:val="0"/>
              <w:spacing w:before="0" w:after="283"/>
              <w:jc w:val="left"/>
              <w:rPr>
                <w:sz w:val="4"/>
                <w:szCs w:val="4"/>
              </w:rPr>
            </w:pPr>
            <w:r>
              <w:rPr>
                <w:sz w:val="4"/>
                <w:szCs w:val="4"/>
              </w:rPr>
            </w:r>
          </w:p>
        </w:tc>
        <w:tc>
          <w:tcPr>
            <w:tcW w:w="501" w:type="dxa"/>
            <w:gridSpan w:val="2"/>
            <w:tcBorders/>
            <w:vAlign w:val="center"/>
          </w:tcPr>
          <w:p>
            <w:pPr>
              <w:pStyle w:val="TableContents"/>
              <w:bidi w:val="0"/>
              <w:spacing w:before="0" w:after="283"/>
              <w:jc w:val="left"/>
              <w:rPr>
                <w:sz w:val="4"/>
                <w:szCs w:val="4"/>
              </w:rPr>
            </w:pPr>
            <w:r>
              <w:rPr>
                <w:sz w:val="4"/>
                <w:szCs w:val="4"/>
              </w:rPr>
            </w:r>
          </w:p>
        </w:tc>
        <w:tc>
          <w:tcPr>
            <w:tcW w:w="704" w:type="dxa"/>
            <w:gridSpan w:val="2"/>
            <w:tcBorders/>
            <w:vAlign w:val="center"/>
          </w:tcPr>
          <w:p>
            <w:pPr>
              <w:pStyle w:val="TableContents"/>
              <w:bidi w:val="0"/>
              <w:spacing w:before="0" w:after="283"/>
              <w:jc w:val="left"/>
              <w:rPr>
                <w:sz w:val="4"/>
                <w:szCs w:val="4"/>
              </w:rPr>
            </w:pPr>
            <w:r>
              <w:rPr>
                <w:sz w:val="4"/>
                <w:szCs w:val="4"/>
              </w:rPr>
            </w:r>
          </w:p>
        </w:tc>
        <w:tc>
          <w:tcPr>
            <w:tcW w:w="4545" w:type="dxa"/>
            <w:gridSpan w:val="2"/>
            <w:tcBorders/>
            <w:vAlign w:val="center"/>
          </w:tcPr>
          <w:p>
            <w:pPr>
              <w:pStyle w:val="TableContents"/>
              <w:bidi w:val="0"/>
              <w:spacing w:before="0" w:after="283"/>
              <w:jc w:val="left"/>
              <w:rPr>
                <w:sz w:val="4"/>
                <w:szCs w:val="4"/>
              </w:rPr>
            </w:pPr>
            <w:r>
              <w:rPr>
                <w:sz w:val="4"/>
                <w:szCs w:val="4"/>
              </w:rPr>
            </w:r>
          </w:p>
        </w:tc>
      </w:tr>
      <w:tr>
        <w:trPr/>
        <w:tc>
          <w:tcPr>
            <w:tcW w:w="4455" w:type="dxa"/>
            <w:tcBorders/>
          </w:tcPr>
          <w:p>
            <w:pPr>
              <w:pStyle w:val="TableContents"/>
              <w:bidi w:val="0"/>
              <w:spacing w:before="0" w:after="283"/>
              <w:jc w:val="left"/>
              <w:rPr/>
            </w:pPr>
            <w:r>
              <w:rPr/>
              <w:t>Date: July 13, 2026</w:t>
            </w:r>
          </w:p>
        </w:tc>
        <w:tc>
          <w:tcPr>
            <w:tcW w:w="108"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6" w:type="dxa"/>
            <w:tcBorders/>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437" w:type="dxa"/>
            <w:tcBorders>
              <w:bottom w:val="single" w:sz="2" w:space="0" w:color="000000"/>
            </w:tcBorders>
            <w:tcMar>
              <w:bottom w:w="28" w:type="dxa"/>
            </w:tcMar>
          </w:tcPr>
          <w:p>
            <w:pPr>
              <w:pStyle w:val="TableContents"/>
              <w:bidi w:val="0"/>
              <w:spacing w:before="0" w:after="283"/>
              <w:jc w:val="left"/>
              <w:rPr/>
            </w:pPr>
            <w:r>
              <w:rPr/>
              <w:t>/s/ Ernesto Gómez Pombo</w:t>
            </w:r>
          </w:p>
        </w:tc>
      </w:tr>
      <w:tr>
        <w:trPr/>
        <w:tc>
          <w:tcPr>
            <w:tcW w:w="445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6"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437" w:type="dxa"/>
            <w:tcBorders/>
            <w:vAlign w:val="bottom"/>
          </w:tcPr>
          <w:p>
            <w:pPr>
              <w:pStyle w:val="TableContents"/>
              <w:bidi w:val="0"/>
              <w:spacing w:before="0" w:after="283"/>
              <w:jc w:val="left"/>
              <w:rPr/>
            </w:pPr>
            <w:r>
              <w:rPr/>
              <w:t>Ernesto Gómez Pombo</w:t>
            </w:r>
          </w:p>
        </w:tc>
      </w:tr>
      <w:tr>
        <w:trPr/>
        <w:tc>
          <w:tcPr>
            <w:tcW w:w="445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6"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437" w:type="dxa"/>
            <w:tcBorders/>
            <w:vAlign w:val="bottom"/>
          </w:tcPr>
          <w:p>
            <w:pPr>
              <w:pStyle w:val="TableContents"/>
              <w:bidi w:val="0"/>
              <w:spacing w:before="0" w:after="283"/>
              <w:jc w:val="left"/>
              <w:rPr/>
            </w:pPr>
            <w:r>
              <w:rPr/>
              <w:t>General Counsel</w:t>
            </w:r>
          </w:p>
        </w:tc>
      </w:tr>
    </w:tbl>
    <w:p>
      <w:pPr>
        <w:pStyle w:val="TextBody"/>
        <w:bidi w:val="0"/>
        <w:spacing w:before="0" w:after="0"/>
        <w:jc w:val="right"/>
        <w:rPr>
          <w:rFonts w:ascii="Times New Roman" w:hAnsi="Times New Roman"/>
          <w:b/>
          <w:sz w:val="20"/>
        </w:rPr>
      </w:pPr>
      <w:bookmarkStart w:id="2" w:name="d112634dex991.htm"/>
      <w:bookmarkStart w:id="3" w:name="ksd112634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33528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52800" cy="6191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79"/>
        <w:gridCol w:w="204"/>
        <w:gridCol w:w="6022"/>
      </w:tblGrid>
      <w:tr>
        <w:trPr/>
        <w:tc>
          <w:tcPr>
            <w:tcW w:w="397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022" w:type="dxa"/>
            <w:tcBorders/>
            <w:vAlign w:val="center"/>
          </w:tcPr>
          <w:p>
            <w:pPr>
              <w:pStyle w:val="TableContents"/>
              <w:bidi w:val="0"/>
              <w:spacing w:before="0" w:after="283"/>
              <w:jc w:val="left"/>
              <w:rPr>
                <w:sz w:val="4"/>
                <w:szCs w:val="4"/>
              </w:rPr>
            </w:pPr>
            <w:r>
              <w:rPr>
                <w:sz w:val="4"/>
                <w:szCs w:val="4"/>
              </w:rPr>
            </w:r>
          </w:p>
        </w:tc>
      </w:tr>
      <w:tr>
        <w:trPr/>
        <w:tc>
          <w:tcPr>
            <w:tcW w:w="397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CONTACT: Investor Relations</w:t>
            </w:r>
          </w:p>
        </w:tc>
        <w:tc>
          <w:tcPr>
            <w:tcW w:w="204" w:type="dxa"/>
            <w:tcBorders/>
            <w:vAlign w:val="bottom"/>
          </w:tcPr>
          <w:p>
            <w:pPr>
              <w:pStyle w:val="TableContents"/>
              <w:bidi w:val="0"/>
              <w:spacing w:before="0" w:after="283"/>
              <w:jc w:val="left"/>
              <w:rPr/>
            </w:pPr>
            <w:r>
              <w:rPr/>
              <w:t>  </w:t>
            </w:r>
          </w:p>
        </w:tc>
        <w:tc>
          <w:tcPr>
            <w:tcW w:w="6022" w:type="dxa"/>
            <w:tcBorders/>
            <w:vAlign w:val="bottom"/>
          </w:tcPr>
          <w:p>
            <w:pPr>
              <w:pStyle w:val="TableContents"/>
              <w:bidi w:val="0"/>
              <w:spacing w:before="0" w:after="0"/>
              <w:jc w:val="left"/>
              <w:rPr>
                <w:rFonts w:ascii="Times New Roman" w:hAnsi="Times New Roman"/>
                <w:sz w:val="20"/>
                <w:u w:val="single"/>
              </w:rPr>
            </w:pPr>
            <w:r>
              <w:rPr>
                <w:rFonts w:ascii="Times New Roman" w:hAnsi="Times New Roman"/>
                <w:sz w:val="20"/>
                <w:u w:val="single"/>
              </w:rPr>
              <w:t>aminvestorrelations@aeromexico.com</w:t>
            </w:r>
          </w:p>
        </w:tc>
      </w:tr>
      <w:tr>
        <w:trPr/>
        <w:tc>
          <w:tcPr>
            <w:tcW w:w="3979" w:type="dxa"/>
            <w:tcBorders/>
            <w:vAlign w:val="bottom"/>
          </w:tcPr>
          <w:p>
            <w:pPr>
              <w:pStyle w:val="TableContents"/>
              <w:bidi w:val="0"/>
              <w:spacing w:before="0" w:after="0"/>
              <w:jc w:val="left"/>
              <w:rPr/>
            </w:pPr>
            <w:r>
              <w:rPr/>
              <w:t>     </w:t>
            </w:r>
            <w:r>
              <w:rPr>
                <w:rFonts w:ascii="Times New Roman" w:hAnsi="Times New Roman"/>
                <w:sz w:val="20"/>
              </w:rPr>
              <w:t>Corporate Communications</w:t>
            </w:r>
          </w:p>
        </w:tc>
        <w:tc>
          <w:tcPr>
            <w:tcW w:w="204" w:type="dxa"/>
            <w:tcBorders/>
            <w:vAlign w:val="bottom"/>
          </w:tcPr>
          <w:p>
            <w:pPr>
              <w:pStyle w:val="TableContents"/>
              <w:bidi w:val="0"/>
              <w:spacing w:before="0" w:after="283"/>
              <w:jc w:val="left"/>
              <w:rPr/>
            </w:pPr>
            <w:r>
              <w:rPr/>
              <w:t>  </w:t>
            </w:r>
          </w:p>
        </w:tc>
        <w:tc>
          <w:tcPr>
            <w:tcW w:w="6022" w:type="dxa"/>
            <w:tcBorders/>
            <w:vAlign w:val="bottom"/>
          </w:tcPr>
          <w:p>
            <w:pPr>
              <w:pStyle w:val="TableContents"/>
              <w:bidi w:val="0"/>
              <w:spacing w:before="0" w:after="283"/>
              <w:jc w:val="left"/>
              <w:rPr>
                <w:u w:val="single"/>
              </w:rPr>
            </w:pPr>
            <w:r>
              <w:rPr>
                <w:u w:val="single"/>
              </w:rPr>
              <w:t>amcomunicacioncorporativa@aeromexico.com</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Aeroméxico Reports Unaudited </w:t>
      </w:r>
    </w:p>
    <w:p>
      <w:pPr>
        <w:pStyle w:val="TextBody"/>
        <w:bidi w:val="0"/>
        <w:spacing w:before="120" w:after="0"/>
        <w:jc w:val="center"/>
        <w:rPr>
          <w:rFonts w:ascii="Times New Roman" w:hAnsi="Times New Roman"/>
          <w:b/>
          <w:sz w:val="20"/>
        </w:rPr>
      </w:pPr>
      <w:r>
        <w:rPr>
          <w:rFonts w:ascii="Times New Roman" w:hAnsi="Times New Roman"/>
          <w:b/>
          <w:sz w:val="20"/>
        </w:rPr>
        <w:t xml:space="preserve">Second Quarter 2026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i/>
                <w:sz w:val="20"/>
              </w:rPr>
              <w:t>Record 2Q Total Revenue of $1.5</w:t>
            </w:r>
            <w:r>
              <w:rPr>
                <w:rFonts w:ascii="Times New Roman" w:hAnsi="Times New Roman"/>
                <w:sz w:val="20"/>
              </w:rPr>
              <w:t> </w:t>
            </w:r>
            <w:r>
              <w:rPr>
                <w:rFonts w:ascii="Times New Roman" w:hAnsi="Times New Roman"/>
                <w:i/>
                <w:sz w:val="20"/>
              </w:rPr>
              <w:t xml:space="preserve">billion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Adjusted EBITDAR Margin of 18%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Operating Margin of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i/>
                <w:sz w:val="20"/>
              </w:rPr>
              <w:t>Liquidity(3)</w:t>
            </w:r>
            <w:r>
              <w:rPr>
                <w:rFonts w:ascii="Times New Roman" w:hAnsi="Times New Roman"/>
                <w:sz w:val="20"/>
              </w:rPr>
              <w:t xml:space="preserve"> </w:t>
            </w:r>
            <w:r>
              <w:rPr>
                <w:rFonts w:ascii="Times New Roman" w:hAnsi="Times New Roman"/>
                <w:i/>
                <w:sz w:val="20"/>
              </w:rPr>
              <w:t>to LTM Revenue ratio at 22%</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Mexico City, Mexico, July</w:t>
      </w:r>
      <w:r>
        <w:rPr>
          <w:rFonts w:ascii="Times New Roman" w:hAnsi="Times New Roman"/>
          <w:sz w:val="20"/>
        </w:rPr>
        <w:t> </w:t>
      </w:r>
      <w:r>
        <w:rPr>
          <w:rFonts w:ascii="Times New Roman" w:hAnsi="Times New Roman"/>
          <w:b/>
          <w:sz w:val="20"/>
        </w:rPr>
        <w:t>13, 2026</w:t>
      </w:r>
      <w:r>
        <w:rPr>
          <w:rFonts w:ascii="Times New Roman" w:hAnsi="Times New Roman"/>
          <w:sz w:val="20"/>
        </w:rPr>
        <w:t xml:space="preserve"> - Grupo Aeroméxico S.A.B. de C.V. (NYSE: AERO &amp; BMV: AERO, “Aeroméxico” or the “Company”) today reported unaudited consolidated financial results for the three months ended June 30, 2026 (“2Q26”). These results are based on information available to us as of the date of this earnings release and are not a comprehensive statement of our financial results for the period presented. The Company has used the U.S. dollar, its functional currency, as the presentation currency for its consolidated financial statements. All figures are expressed in millions of U.S. dollars unless otherwise indicated. </w:t>
      </w:r>
    </w:p>
    <w:p>
      <w:pPr>
        <w:pStyle w:val="TextBody"/>
        <w:bidi w:val="0"/>
        <w:spacing w:before="240" w:after="0"/>
        <w:jc w:val="left"/>
        <w:rPr>
          <w:rFonts w:ascii="Times New Roman" w:hAnsi="Times New Roman"/>
          <w:sz w:val="20"/>
        </w:rPr>
      </w:pPr>
      <w:r>
        <w:rPr>
          <w:rFonts w:ascii="Times New Roman" w:hAnsi="Times New Roman"/>
          <w:b/>
          <w:sz w:val="20"/>
        </w:rPr>
        <w:t>Andrés Conesa, Chief Executive Officer</w:t>
      </w:r>
      <w:r>
        <w:rPr>
          <w:rFonts w:ascii="Times New Roman" w:hAnsi="Times New Roman"/>
          <w:sz w:val="20"/>
        </w:rPr>
        <w:t xml:space="preserve"> stated: “</w:t>
      </w:r>
      <w:r>
        <w:rPr>
          <w:rFonts w:ascii="Times New Roman" w:hAnsi="Times New Roman"/>
          <w:i/>
          <w:sz w:val="20"/>
        </w:rPr>
        <w:t>Aeroméxico delivered solid second quarter results amid peak fuel price pressure and June demand shifts associated with the World Cup. Our results were in line with our second-quarter guidance, despite an approximately $30 million fuel headwind. We achieved two record sales weeks during the quarter, including the highest weekly sales in our history, while Premium Revenue Mix reached an all-time high, underscoring the strength of our business model and the power of our brand. Through disciplined capacity and network management, we remained focused on aligning supply with demand while protecting profitability. Even in a challenging macroeconomic environment, we ended the quarter with strong cash balances—consistent with the prior two quarters—without incurring additional financial debt. Looking ahead to the second half of the year, we expect a positive backdrop, driven by improving macroeconomic conditions and healthy demand, resulting in absolute EBITDAR levels above last year</w:t>
      </w:r>
      <w:r>
        <w:rPr>
          <w:rFonts w:ascii="Times New Roman" w:hAnsi="Times New Roman"/>
          <w:sz w:val="20"/>
        </w:rPr>
        <w:t xml:space="preserve"> </w:t>
      </w:r>
      <w:r>
        <w:rPr>
          <w:rFonts w:ascii="Times New Roman" w:hAnsi="Times New Roman"/>
          <w:i/>
          <w:sz w:val="20"/>
        </w:rPr>
        <w:t>(1).”</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OPERATING &amp; FINANCIAL HIGHLIGHTS 2Q26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Capacity,</w:t>
            </w:r>
            <w:r>
              <w:rPr>
                <w:rFonts w:ascii="Times New Roman" w:hAnsi="Times New Roman"/>
                <w:sz w:val="20"/>
              </w:rPr>
              <w:t xml:space="preserve"> measured in available seat miles (ASMs), increased by 1.9%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Total revenue</w:t>
            </w:r>
            <w:r>
              <w:rPr>
                <w:rFonts w:ascii="Times New Roman" w:hAnsi="Times New Roman"/>
                <w:sz w:val="20"/>
              </w:rPr>
              <w:t xml:space="preserve"> reached $1.5 billion; a 12.6% increase compared to the same period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Total fuel expense </w:t>
            </w:r>
            <w:r>
              <w:rPr>
                <w:rFonts w:ascii="Times New Roman" w:hAnsi="Times New Roman"/>
                <w:sz w:val="20"/>
              </w:rPr>
              <w:t xml:space="preserve">amounted to $493.8 million, a 79.9% year-over-year increase.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Adjusted EBITDAR(2)</w:t>
            </w:r>
            <w:r>
              <w:rPr>
                <w:rFonts w:ascii="Times New Roman" w:hAnsi="Times New Roman"/>
                <w:sz w:val="20"/>
              </w:rPr>
              <w:t xml:space="preserve"> totaled $264.2 million, with a 17.9% margin.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Operating income</w:t>
            </w:r>
            <w:r>
              <w:rPr>
                <w:rFonts w:ascii="Times New Roman" w:hAnsi="Times New Roman"/>
                <w:sz w:val="20"/>
              </w:rPr>
              <w:t xml:space="preserve"> totaled $67.9 million, with a 4.6% margin.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w:t>
            </w:r>
            <w:r>
              <w:rPr>
                <w:rFonts w:ascii="Times New Roman" w:hAnsi="Times New Roman"/>
                <w:b/>
                <w:sz w:val="20"/>
              </w:rPr>
              <w:t>adjusted net debt to EBITDAR(2)</w:t>
            </w:r>
            <w:r>
              <w:rPr>
                <w:rFonts w:ascii="Times New Roman" w:hAnsi="Times New Roman"/>
                <w:sz w:val="20"/>
              </w:rPr>
              <w:t xml:space="preserve"> ended the quarter below 2.0x.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Liquidity(3)</w:t>
            </w:r>
            <w:r>
              <w:rPr>
                <w:rFonts w:ascii="Times New Roman" w:hAnsi="Times New Roman"/>
                <w:sz w:val="20"/>
              </w:rPr>
              <w:t xml:space="preserve"> totaled $1.2 billion, equivalent to 21.8% of last-twelve-month revenues. </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3943350" cy="45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943350" cy="457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3Q26, 4Q26 &amp; FULL YEAR OUTLOOK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8"/>
        <w:gridCol w:w="120"/>
        <w:gridCol w:w="2555"/>
        <w:gridCol w:w="120"/>
        <w:gridCol w:w="2555"/>
        <w:gridCol w:w="120"/>
        <w:gridCol w:w="2487"/>
      </w:tblGrid>
      <w:tr>
        <w:trPr/>
        <w:tc>
          <w:tcPr>
            <w:tcW w:w="22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r>
      <w:tr>
        <w:trPr/>
        <w:tc>
          <w:tcPr>
            <w:tcW w:w="224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Indicator</w:t>
            </w:r>
          </w:p>
        </w:tc>
        <w:tc>
          <w:tcPr>
            <w:tcW w:w="120" w:type="dxa"/>
            <w:tcBorders/>
            <w:vAlign w:val="bottom"/>
          </w:tcPr>
          <w:p>
            <w:pPr>
              <w:pStyle w:val="TableContents"/>
              <w:bidi w:val="0"/>
              <w:spacing w:before="0" w:after="283"/>
              <w:jc w:val="left"/>
              <w:rPr/>
            </w:pPr>
            <w:r>
              <w:rPr/>
              <w:t>  </w:t>
            </w:r>
          </w:p>
        </w:tc>
        <w:tc>
          <w:tcPr>
            <w:tcW w:w="25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3Q26 Guidance</w:t>
            </w:r>
          </w:p>
        </w:tc>
        <w:tc>
          <w:tcPr>
            <w:tcW w:w="120" w:type="dxa"/>
            <w:tcBorders/>
            <w:vAlign w:val="bottom"/>
          </w:tcPr>
          <w:p>
            <w:pPr>
              <w:pStyle w:val="TableContents"/>
              <w:bidi w:val="0"/>
              <w:spacing w:before="0" w:after="283"/>
              <w:jc w:val="left"/>
              <w:rPr/>
            </w:pPr>
            <w:r>
              <w:rPr/>
              <w:t>  </w:t>
            </w:r>
          </w:p>
        </w:tc>
        <w:tc>
          <w:tcPr>
            <w:tcW w:w="25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4Q26 Guidance</w:t>
            </w:r>
          </w:p>
        </w:tc>
        <w:tc>
          <w:tcPr>
            <w:tcW w:w="120" w:type="dxa"/>
            <w:tcBorders/>
            <w:vAlign w:val="bottom"/>
          </w:tcPr>
          <w:p>
            <w:pPr>
              <w:pStyle w:val="TableContents"/>
              <w:bidi w:val="0"/>
              <w:spacing w:before="0" w:after="283"/>
              <w:jc w:val="left"/>
              <w:rPr/>
            </w:pPr>
            <w:r>
              <w:rPr/>
              <w:t>  </w:t>
            </w:r>
          </w:p>
        </w:tc>
        <w:tc>
          <w:tcPr>
            <w:tcW w:w="248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FY26 Guidance</w:t>
            </w:r>
          </w:p>
        </w:tc>
      </w:tr>
      <w:tr>
        <w:trPr/>
        <w:tc>
          <w:tcPr>
            <w:tcW w:w="22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capacity (ASMs)</w:t>
            </w:r>
          </w:p>
        </w:tc>
        <w:tc>
          <w:tcPr>
            <w:tcW w:w="120" w:type="dxa"/>
            <w:tcBorders/>
            <w:shd w:fill="CCEEFF" w:val="clear"/>
            <w:vAlign w:val="bottom"/>
          </w:tcPr>
          <w:p>
            <w:pPr>
              <w:pStyle w:val="TableContents"/>
              <w:bidi w:val="0"/>
              <w:spacing w:before="0" w:after="283"/>
              <w:jc w:val="left"/>
              <w:rPr/>
            </w:pPr>
            <w:r>
              <w:rPr/>
              <w:t>  </w:t>
            </w:r>
          </w:p>
        </w:tc>
        <w:tc>
          <w:tcPr>
            <w:tcW w:w="2555" w:type="dxa"/>
            <w:tcBorders/>
            <w:shd w:fill="CCEEFF" w:val="clear"/>
            <w:vAlign w:val="bottom"/>
          </w:tcPr>
          <w:p>
            <w:pPr>
              <w:pStyle w:val="TableContents"/>
              <w:bidi w:val="0"/>
              <w:spacing w:before="0" w:after="283"/>
              <w:jc w:val="right"/>
              <w:rPr/>
            </w:pPr>
            <w:r>
              <w:rPr/>
              <w:t>~ +0.5% to +1.5%</w:t>
            </w:r>
          </w:p>
        </w:tc>
        <w:tc>
          <w:tcPr>
            <w:tcW w:w="120" w:type="dxa"/>
            <w:tcBorders/>
            <w:shd w:fill="CCEEFF" w:val="clear"/>
            <w:vAlign w:val="bottom"/>
          </w:tcPr>
          <w:p>
            <w:pPr>
              <w:pStyle w:val="TableContents"/>
              <w:bidi w:val="0"/>
              <w:spacing w:before="0" w:after="283"/>
              <w:jc w:val="left"/>
              <w:rPr/>
            </w:pPr>
            <w:r>
              <w:rPr/>
              <w:t>  </w:t>
            </w:r>
          </w:p>
        </w:tc>
        <w:tc>
          <w:tcPr>
            <w:tcW w:w="2555" w:type="dxa"/>
            <w:tcBorders/>
            <w:shd w:fill="CCEEFF" w:val="clear"/>
            <w:vAlign w:val="bottom"/>
          </w:tcPr>
          <w:p>
            <w:pPr>
              <w:pStyle w:val="TableContents"/>
              <w:bidi w:val="0"/>
              <w:spacing w:before="0" w:after="283"/>
              <w:jc w:val="right"/>
              <w:rPr/>
            </w:pPr>
            <w:r>
              <w:rPr/>
              <w:t>~ +6.5% to +8.0%</w:t>
            </w:r>
          </w:p>
        </w:tc>
        <w:tc>
          <w:tcPr>
            <w:tcW w:w="120" w:type="dxa"/>
            <w:tcBorders/>
            <w:shd w:fill="CCEEFF" w:val="clear"/>
            <w:vAlign w:val="bottom"/>
          </w:tcPr>
          <w:p>
            <w:pPr>
              <w:pStyle w:val="TableContents"/>
              <w:bidi w:val="0"/>
              <w:spacing w:before="0" w:after="283"/>
              <w:jc w:val="left"/>
              <w:rPr/>
            </w:pPr>
            <w:r>
              <w:rPr/>
              <w:t>  </w:t>
            </w:r>
          </w:p>
        </w:tc>
        <w:tc>
          <w:tcPr>
            <w:tcW w:w="2487" w:type="dxa"/>
            <w:tcBorders/>
            <w:shd w:fill="CCEEFF" w:val="clear"/>
            <w:vAlign w:val="bottom"/>
          </w:tcPr>
          <w:p>
            <w:pPr>
              <w:pStyle w:val="TableContents"/>
              <w:bidi w:val="0"/>
              <w:spacing w:before="0" w:after="283"/>
              <w:jc w:val="right"/>
              <w:rPr/>
            </w:pPr>
            <w:r>
              <w:rPr/>
              <w:t>~ +2.0% to +3.0%</w:t>
            </w:r>
          </w:p>
        </w:tc>
      </w:tr>
      <w:tr>
        <w:trPr/>
        <w:tc>
          <w:tcPr>
            <w:tcW w:w="224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120" w:type="dxa"/>
            <w:tcBorders/>
            <w:vAlign w:val="bottom"/>
          </w:tcPr>
          <w:p>
            <w:pPr>
              <w:pStyle w:val="TableContents"/>
              <w:bidi w:val="0"/>
              <w:spacing w:before="0" w:after="283"/>
              <w:jc w:val="left"/>
              <w:rPr/>
            </w:pPr>
            <w:r>
              <w:rPr/>
              <w:t>  </w:t>
            </w:r>
          </w:p>
        </w:tc>
        <w:tc>
          <w:tcPr>
            <w:tcW w:w="2555" w:type="dxa"/>
            <w:tcBorders/>
            <w:vAlign w:val="bottom"/>
          </w:tcPr>
          <w:p>
            <w:pPr>
              <w:pStyle w:val="TableContents"/>
              <w:bidi w:val="0"/>
              <w:spacing w:before="0" w:after="283"/>
              <w:jc w:val="right"/>
              <w:rPr/>
            </w:pPr>
            <w:r>
              <w:rPr/>
              <w:t>~ 1.59 bn to 1.62 bn</w:t>
            </w:r>
          </w:p>
        </w:tc>
        <w:tc>
          <w:tcPr>
            <w:tcW w:w="120" w:type="dxa"/>
            <w:tcBorders/>
            <w:vAlign w:val="bottom"/>
          </w:tcPr>
          <w:p>
            <w:pPr>
              <w:pStyle w:val="TableContents"/>
              <w:bidi w:val="0"/>
              <w:spacing w:before="0" w:after="283"/>
              <w:jc w:val="left"/>
              <w:rPr/>
            </w:pPr>
            <w:r>
              <w:rPr/>
              <w:t>  </w:t>
            </w:r>
          </w:p>
        </w:tc>
        <w:tc>
          <w:tcPr>
            <w:tcW w:w="2555" w:type="dxa"/>
            <w:tcBorders/>
            <w:vAlign w:val="bottom"/>
          </w:tcPr>
          <w:p>
            <w:pPr>
              <w:pStyle w:val="TableContents"/>
              <w:bidi w:val="0"/>
              <w:spacing w:before="0" w:after="283"/>
              <w:jc w:val="right"/>
              <w:rPr/>
            </w:pPr>
            <w:r>
              <w:rPr/>
              <w:t>~ 1.64 bn to 1.68 bn</w:t>
            </w:r>
          </w:p>
        </w:tc>
        <w:tc>
          <w:tcPr>
            <w:tcW w:w="120" w:type="dxa"/>
            <w:tcBorders/>
            <w:vAlign w:val="bottom"/>
          </w:tcPr>
          <w:p>
            <w:pPr>
              <w:pStyle w:val="TableContents"/>
              <w:bidi w:val="0"/>
              <w:spacing w:before="0" w:after="283"/>
              <w:jc w:val="left"/>
              <w:rPr/>
            </w:pPr>
            <w:r>
              <w:rPr/>
              <w:t>  </w:t>
            </w:r>
          </w:p>
        </w:tc>
        <w:tc>
          <w:tcPr>
            <w:tcW w:w="2487" w:type="dxa"/>
            <w:tcBorders/>
            <w:vAlign w:val="bottom"/>
          </w:tcPr>
          <w:p>
            <w:pPr>
              <w:pStyle w:val="TableContents"/>
              <w:bidi w:val="0"/>
              <w:spacing w:before="0" w:after="283"/>
              <w:jc w:val="right"/>
              <w:rPr/>
            </w:pPr>
            <w:r>
              <w:rPr/>
              <w:t>~ 6.05 bn to 6.12 bn</w:t>
            </w:r>
          </w:p>
        </w:tc>
      </w:tr>
      <w:tr>
        <w:trPr/>
        <w:tc>
          <w:tcPr>
            <w:tcW w:w="22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revenue YoY</w:t>
            </w:r>
          </w:p>
        </w:tc>
        <w:tc>
          <w:tcPr>
            <w:tcW w:w="120" w:type="dxa"/>
            <w:tcBorders/>
            <w:shd w:fill="CCEEFF" w:val="clear"/>
            <w:vAlign w:val="bottom"/>
          </w:tcPr>
          <w:p>
            <w:pPr>
              <w:pStyle w:val="TableContents"/>
              <w:bidi w:val="0"/>
              <w:spacing w:before="0" w:after="283"/>
              <w:jc w:val="left"/>
              <w:rPr/>
            </w:pPr>
            <w:r>
              <w:rPr/>
              <w:t>  </w:t>
            </w:r>
          </w:p>
        </w:tc>
        <w:tc>
          <w:tcPr>
            <w:tcW w:w="2555" w:type="dxa"/>
            <w:tcBorders/>
            <w:shd w:fill="CCEEFF" w:val="clear"/>
            <w:vAlign w:val="bottom"/>
          </w:tcPr>
          <w:p>
            <w:pPr>
              <w:pStyle w:val="TableContents"/>
              <w:bidi w:val="0"/>
              <w:spacing w:before="0" w:after="283"/>
              <w:jc w:val="right"/>
              <w:rPr/>
            </w:pPr>
            <w:r>
              <w:rPr/>
              <w:t>~ +12.0% to +14.0%</w:t>
            </w:r>
          </w:p>
        </w:tc>
        <w:tc>
          <w:tcPr>
            <w:tcW w:w="120" w:type="dxa"/>
            <w:tcBorders/>
            <w:shd w:fill="CCEEFF" w:val="clear"/>
            <w:vAlign w:val="bottom"/>
          </w:tcPr>
          <w:p>
            <w:pPr>
              <w:pStyle w:val="TableContents"/>
              <w:bidi w:val="0"/>
              <w:spacing w:before="0" w:after="283"/>
              <w:jc w:val="left"/>
              <w:rPr/>
            </w:pPr>
            <w:r>
              <w:rPr/>
              <w:t>  </w:t>
            </w:r>
          </w:p>
        </w:tc>
        <w:tc>
          <w:tcPr>
            <w:tcW w:w="2555" w:type="dxa"/>
            <w:tcBorders/>
            <w:shd w:fill="CCEEFF" w:val="clear"/>
            <w:vAlign w:val="bottom"/>
          </w:tcPr>
          <w:p>
            <w:pPr>
              <w:pStyle w:val="TableContents"/>
              <w:bidi w:val="0"/>
              <w:spacing w:before="0" w:after="283"/>
              <w:jc w:val="right"/>
              <w:rPr/>
            </w:pPr>
            <w:r>
              <w:rPr/>
              <w:t>~ +14.5% to +16.5%</w:t>
            </w:r>
          </w:p>
        </w:tc>
        <w:tc>
          <w:tcPr>
            <w:tcW w:w="120" w:type="dxa"/>
            <w:tcBorders/>
            <w:shd w:fill="CCEEFF" w:val="clear"/>
            <w:vAlign w:val="bottom"/>
          </w:tcPr>
          <w:p>
            <w:pPr>
              <w:pStyle w:val="TableContents"/>
              <w:bidi w:val="0"/>
              <w:spacing w:before="0" w:after="283"/>
              <w:jc w:val="left"/>
              <w:rPr/>
            </w:pPr>
            <w:r>
              <w:rPr/>
              <w:t>  </w:t>
            </w:r>
          </w:p>
        </w:tc>
        <w:tc>
          <w:tcPr>
            <w:tcW w:w="2487" w:type="dxa"/>
            <w:tcBorders/>
            <w:shd w:fill="CCEEFF" w:val="clear"/>
            <w:vAlign w:val="bottom"/>
          </w:tcPr>
          <w:p>
            <w:pPr>
              <w:pStyle w:val="TableContents"/>
              <w:bidi w:val="0"/>
              <w:spacing w:before="0" w:after="283"/>
              <w:jc w:val="right"/>
              <w:rPr/>
            </w:pPr>
            <w:r>
              <w:rPr/>
              <w:t>~ +13.0% to +14.0%</w:t>
            </w:r>
          </w:p>
        </w:tc>
      </w:tr>
      <w:tr>
        <w:trPr/>
        <w:tc>
          <w:tcPr>
            <w:tcW w:w="2248"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EBITDAR margin</w:t>
            </w:r>
          </w:p>
        </w:tc>
        <w:tc>
          <w:tcPr>
            <w:tcW w:w="120" w:type="dxa"/>
            <w:tcBorders/>
            <w:vAlign w:val="bottom"/>
          </w:tcPr>
          <w:p>
            <w:pPr>
              <w:pStyle w:val="TableContents"/>
              <w:bidi w:val="0"/>
              <w:spacing w:before="0" w:after="283"/>
              <w:jc w:val="left"/>
              <w:rPr/>
            </w:pPr>
            <w:r>
              <w:rPr/>
              <w:t>  </w:t>
            </w:r>
          </w:p>
        </w:tc>
        <w:tc>
          <w:tcPr>
            <w:tcW w:w="2555" w:type="dxa"/>
            <w:tcBorders/>
            <w:vAlign w:val="bottom"/>
          </w:tcPr>
          <w:p>
            <w:pPr>
              <w:pStyle w:val="TableContents"/>
              <w:bidi w:val="0"/>
              <w:spacing w:before="0" w:after="283"/>
              <w:jc w:val="right"/>
              <w:rPr/>
            </w:pPr>
            <w:r>
              <w:rPr/>
              <w:t>~ 26.5% to 29.5%</w:t>
            </w:r>
          </w:p>
        </w:tc>
        <w:tc>
          <w:tcPr>
            <w:tcW w:w="120" w:type="dxa"/>
            <w:tcBorders/>
            <w:vAlign w:val="bottom"/>
          </w:tcPr>
          <w:p>
            <w:pPr>
              <w:pStyle w:val="TableContents"/>
              <w:bidi w:val="0"/>
              <w:spacing w:before="0" w:after="283"/>
              <w:jc w:val="left"/>
              <w:rPr/>
            </w:pPr>
            <w:r>
              <w:rPr/>
              <w:t>  </w:t>
            </w:r>
          </w:p>
        </w:tc>
        <w:tc>
          <w:tcPr>
            <w:tcW w:w="2555" w:type="dxa"/>
            <w:tcBorders/>
            <w:vAlign w:val="bottom"/>
          </w:tcPr>
          <w:p>
            <w:pPr>
              <w:pStyle w:val="TableContents"/>
              <w:bidi w:val="0"/>
              <w:spacing w:before="0" w:after="283"/>
              <w:jc w:val="right"/>
              <w:rPr/>
            </w:pPr>
            <w:r>
              <w:rPr/>
              <w:t>~ 28.0% to 31.0%</w:t>
            </w:r>
          </w:p>
        </w:tc>
        <w:tc>
          <w:tcPr>
            <w:tcW w:w="120" w:type="dxa"/>
            <w:tcBorders/>
            <w:vAlign w:val="bottom"/>
          </w:tcPr>
          <w:p>
            <w:pPr>
              <w:pStyle w:val="TableContents"/>
              <w:bidi w:val="0"/>
              <w:spacing w:before="0" w:after="283"/>
              <w:jc w:val="left"/>
              <w:rPr/>
            </w:pPr>
            <w:r>
              <w:rPr/>
              <w:t>  </w:t>
            </w:r>
          </w:p>
        </w:tc>
        <w:tc>
          <w:tcPr>
            <w:tcW w:w="2487" w:type="dxa"/>
            <w:tcBorders/>
            <w:vAlign w:val="bottom"/>
          </w:tcPr>
          <w:p>
            <w:pPr>
              <w:pStyle w:val="TableContents"/>
              <w:bidi w:val="0"/>
              <w:spacing w:before="0" w:after="283"/>
              <w:jc w:val="right"/>
              <w:rPr/>
            </w:pPr>
            <w:r>
              <w:rPr/>
              <w:t>~ 24.0% to 26.0%</w:t>
            </w:r>
          </w:p>
        </w:tc>
      </w:tr>
      <w:tr>
        <w:trPr/>
        <w:tc>
          <w:tcPr>
            <w:tcW w:w="22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income margin</w:t>
            </w:r>
          </w:p>
        </w:tc>
        <w:tc>
          <w:tcPr>
            <w:tcW w:w="120" w:type="dxa"/>
            <w:tcBorders/>
            <w:shd w:fill="CCEEFF" w:val="clear"/>
            <w:vAlign w:val="bottom"/>
          </w:tcPr>
          <w:p>
            <w:pPr>
              <w:pStyle w:val="TableContents"/>
              <w:bidi w:val="0"/>
              <w:spacing w:before="0" w:after="283"/>
              <w:jc w:val="left"/>
              <w:rPr/>
            </w:pPr>
            <w:r>
              <w:rPr/>
              <w:t>  </w:t>
            </w:r>
          </w:p>
        </w:tc>
        <w:tc>
          <w:tcPr>
            <w:tcW w:w="2555" w:type="dxa"/>
            <w:tcBorders/>
            <w:shd w:fill="CCEEFF" w:val="clear"/>
            <w:vAlign w:val="bottom"/>
          </w:tcPr>
          <w:p>
            <w:pPr>
              <w:pStyle w:val="TableContents"/>
              <w:bidi w:val="0"/>
              <w:spacing w:before="0" w:after="283"/>
              <w:jc w:val="right"/>
              <w:rPr/>
            </w:pPr>
            <w:r>
              <w:rPr/>
              <w:t>~ 14.0% to 17.0%</w:t>
            </w:r>
          </w:p>
        </w:tc>
        <w:tc>
          <w:tcPr>
            <w:tcW w:w="120" w:type="dxa"/>
            <w:tcBorders/>
            <w:shd w:fill="CCEEFF" w:val="clear"/>
            <w:vAlign w:val="bottom"/>
          </w:tcPr>
          <w:p>
            <w:pPr>
              <w:pStyle w:val="TableContents"/>
              <w:bidi w:val="0"/>
              <w:spacing w:before="0" w:after="283"/>
              <w:jc w:val="left"/>
              <w:rPr/>
            </w:pPr>
            <w:r>
              <w:rPr/>
              <w:t>  </w:t>
            </w:r>
          </w:p>
        </w:tc>
        <w:tc>
          <w:tcPr>
            <w:tcW w:w="2555" w:type="dxa"/>
            <w:tcBorders/>
            <w:shd w:fill="CCEEFF" w:val="clear"/>
            <w:vAlign w:val="bottom"/>
          </w:tcPr>
          <w:p>
            <w:pPr>
              <w:pStyle w:val="TableContents"/>
              <w:bidi w:val="0"/>
              <w:spacing w:before="0" w:after="283"/>
              <w:jc w:val="right"/>
              <w:rPr/>
            </w:pPr>
            <w:r>
              <w:rPr/>
              <w:t>~ 15.5% to 18.5%</w:t>
            </w:r>
          </w:p>
        </w:tc>
        <w:tc>
          <w:tcPr>
            <w:tcW w:w="120" w:type="dxa"/>
            <w:tcBorders/>
            <w:shd w:fill="CCEEFF" w:val="clear"/>
            <w:vAlign w:val="bottom"/>
          </w:tcPr>
          <w:p>
            <w:pPr>
              <w:pStyle w:val="TableContents"/>
              <w:bidi w:val="0"/>
              <w:spacing w:before="0" w:after="283"/>
              <w:jc w:val="left"/>
              <w:rPr/>
            </w:pPr>
            <w:r>
              <w:rPr/>
              <w:t>  </w:t>
            </w:r>
          </w:p>
        </w:tc>
        <w:tc>
          <w:tcPr>
            <w:tcW w:w="2487" w:type="dxa"/>
            <w:tcBorders/>
            <w:shd w:fill="CCEEFF" w:val="clear"/>
            <w:vAlign w:val="bottom"/>
          </w:tcPr>
          <w:p>
            <w:pPr>
              <w:pStyle w:val="TableContents"/>
              <w:bidi w:val="0"/>
              <w:spacing w:before="0" w:after="283"/>
              <w:jc w:val="right"/>
              <w:rPr/>
            </w:pPr>
            <w:r>
              <w:rPr/>
              <w:t>~ 11.0% to 13.0%</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outlook for the second half of the year underscores the resilience of its business model. The Company anticipates sustained strength in revenue generation, supported by healthy demand trends and sustained fare levels. A more favorable fuel cost environment is also expected to drive higher absolute levels of EBITDAR and EBIT in the third quarter relative to 2025. Although margins are expected to moderate in the third quarter due to higher revenues, the Company expects margin expansion in the fourth quarter, underpinned by supportive market conditions and accelerated growth from operating leverage. Fourth quarter capacity growth will be supported by increased aircraft utilization across the existing fleet, enabling the Company to capitalize on strong demand while optimizing profitability. </w:t>
      </w:r>
    </w:p>
    <w:p>
      <w:pPr>
        <w:pStyle w:val="TextBody"/>
        <w:bidi w:val="0"/>
        <w:spacing w:before="240" w:after="0"/>
        <w:jc w:val="left"/>
        <w:rPr>
          <w:rFonts w:ascii="Times New Roman" w:hAnsi="Times New Roman"/>
          <w:sz w:val="20"/>
        </w:rPr>
      </w:pPr>
      <w:r>
        <w:rPr>
          <w:rFonts w:ascii="Times New Roman" w:hAnsi="Times New Roman"/>
          <w:sz w:val="20"/>
        </w:rPr>
        <w:t xml:space="preserve">The guidance reflects an average all-in fuel price of approximately USD $3.2 per gallon for the third quarter and USD $3.0 per gallon for the fourth quarter. It also assumes exchange rates of $17.5 Mexican pesos per U.S. dollar for the third quarter and $17.6 Mexican pesos per U.S. dollar for the fourth quarter. </w:t>
      </w:r>
    </w:p>
    <w:p>
      <w:pPr>
        <w:pStyle w:val="TextBody"/>
        <w:bidi w:val="0"/>
        <w:spacing w:before="480" w:after="0"/>
        <w:jc w:val="center"/>
        <w:rPr>
          <w:rFonts w:ascii="Times New Roman" w:hAnsi="Times New Roman"/>
          <w:b/>
          <w:sz w:val="20"/>
        </w:rPr>
      </w:pPr>
      <w:r>
        <w:rPr>
          <w:rFonts w:ascii="Times New Roman" w:hAnsi="Times New Roman"/>
          <w:b/>
          <w:sz w:val="20"/>
        </w:rPr>
        <w:t xml:space="preserve">KEY FINANCIAL AND OPERATING HIGHLIGHTS FOR THE SECOND QUARTER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57"/>
        <w:gridCol w:w="134"/>
        <w:gridCol w:w="60"/>
        <w:gridCol w:w="569"/>
        <w:gridCol w:w="280"/>
        <w:gridCol w:w="77"/>
        <w:gridCol w:w="60"/>
        <w:gridCol w:w="569"/>
        <w:gridCol w:w="280"/>
        <w:gridCol w:w="77"/>
        <w:gridCol w:w="60"/>
        <w:gridCol w:w="965"/>
        <w:gridCol w:w="350"/>
        <w:gridCol w:w="77"/>
        <w:gridCol w:w="60"/>
        <w:gridCol w:w="703"/>
        <w:gridCol w:w="280"/>
        <w:gridCol w:w="77"/>
        <w:gridCol w:w="60"/>
        <w:gridCol w:w="702"/>
        <w:gridCol w:w="280"/>
        <w:gridCol w:w="77"/>
        <w:gridCol w:w="60"/>
        <w:gridCol w:w="830"/>
        <w:gridCol w:w="361"/>
      </w:tblGrid>
      <w:tr>
        <w:trPr/>
        <w:tc>
          <w:tcPr>
            <w:tcW w:w="3157"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15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99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35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312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361" w:type="dxa"/>
            <w:tcBorders/>
            <w:vAlign w:val="bottom"/>
          </w:tcPr>
          <w:p>
            <w:pPr>
              <w:pStyle w:val="TableContents"/>
              <w:bidi w:val="0"/>
              <w:spacing w:before="0" w:after="283"/>
              <w:jc w:val="left"/>
              <w:rPr/>
            </w:pPr>
            <w:r>
              <w:rPr/>
              <w:t> </w:t>
            </w:r>
          </w:p>
        </w:tc>
      </w:tr>
      <w:tr>
        <w:trPr/>
        <w:tc>
          <w:tcPr>
            <w:tcW w:w="315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Key Financial Indicators</w:t>
            </w:r>
          </w:p>
        </w:tc>
        <w:tc>
          <w:tcPr>
            <w:tcW w:w="134" w:type="dxa"/>
            <w:tcBorders/>
            <w:vAlign w:val="bottom"/>
          </w:tcPr>
          <w:p>
            <w:pPr>
              <w:pStyle w:val="TableContents"/>
              <w:bidi w:val="0"/>
              <w:spacing w:before="0" w:after="283"/>
              <w:jc w:val="left"/>
              <w:rPr/>
            </w:pPr>
            <w:r>
              <w:rPr/>
              <w:t>  </w:t>
            </w:r>
          </w:p>
        </w:tc>
        <w:tc>
          <w:tcPr>
            <w:tcW w:w="6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w:t>
            </w:r>
          </w:p>
        </w:tc>
        <w:tc>
          <w:tcPr>
            <w:tcW w:w="35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w:t>
            </w:r>
          </w:p>
        </w:tc>
        <w:tc>
          <w:tcPr>
            <w:tcW w:w="361" w:type="dxa"/>
            <w:tcBorders/>
            <w:vAlign w:val="bottom"/>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 (USD millions)</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1,479</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1,314</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12.6</w:t>
            </w:r>
          </w:p>
        </w:tc>
        <w:tc>
          <w:tcPr>
            <w:tcW w:w="35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2,821</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2,498</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12.9</w:t>
            </w:r>
          </w:p>
        </w:tc>
        <w:tc>
          <w:tcPr>
            <w:tcW w:w="361" w:type="dxa"/>
            <w:tcBorders/>
            <w:shd w:fill="CCEEFF" w:val="clear"/>
            <w:vAlign w:val="bottom"/>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EBITDAR (2) (USD millions)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264</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410</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(35.5</w:t>
            </w:r>
          </w:p>
        </w:tc>
        <w:tc>
          <w:tcPr>
            <w:tcW w:w="35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600</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729</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(17.7</w:t>
            </w:r>
          </w:p>
        </w:tc>
        <w:tc>
          <w:tcPr>
            <w:tcW w:w="361" w:type="dxa"/>
            <w:tcBorders/>
            <w:vAlign w:val="bottom"/>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EBITDAR margin (2) (% revenue)</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17.9</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31.2</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(13.3 p.p.</w:t>
            </w:r>
          </w:p>
        </w:tc>
        <w:tc>
          <w:tcPr>
            <w:tcW w:w="35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21.3</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29.2</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(7.9 p.p.</w:t>
            </w:r>
          </w:p>
        </w:tc>
        <w:tc>
          <w:tcPr>
            <w:tcW w:w="361" w:type="dxa"/>
            <w:tcBorders/>
            <w:shd w:fill="CCEEFF" w:val="clear"/>
            <w:vAlign w:val="bottom"/>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income (loss) (USD millions)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68</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230</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(70.5</w:t>
            </w:r>
          </w:p>
        </w:tc>
        <w:tc>
          <w:tcPr>
            <w:tcW w:w="35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210</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372</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(43.7</w:t>
            </w:r>
          </w:p>
        </w:tc>
        <w:tc>
          <w:tcPr>
            <w:tcW w:w="361" w:type="dxa"/>
            <w:tcBorders/>
            <w:vAlign w:val="bottom"/>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margin (% of revenue)</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4.6</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17.5</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(12.9 p.p.</w:t>
            </w:r>
          </w:p>
        </w:tc>
        <w:tc>
          <w:tcPr>
            <w:tcW w:w="35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7.4</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14.9</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(7.5 p.p.</w:t>
            </w:r>
          </w:p>
        </w:tc>
        <w:tc>
          <w:tcPr>
            <w:tcW w:w="361" w:type="dxa"/>
            <w:tcBorders/>
            <w:shd w:fill="CCEEFF" w:val="clear"/>
            <w:vAlign w:val="bottom"/>
          </w:tcPr>
          <w:p>
            <w:pPr>
              <w:pStyle w:val="TableContents"/>
              <w:bidi w:val="0"/>
              <w:spacing w:before="0" w:after="283"/>
              <w:jc w:val="left"/>
              <w:rPr/>
            </w:pPr>
            <w:r>
              <w:rPr/>
              <w:t>) </w:t>
            </w:r>
          </w:p>
        </w:tc>
      </w:tr>
      <w:tr>
        <w:trPr>
          <w:trHeight w:val="240" w:hRule="atLeast"/>
        </w:trPr>
        <w:tc>
          <w:tcPr>
            <w:tcW w:w="3157" w:type="dxa"/>
            <w:tcBorders/>
            <w:vAlign w:val="center"/>
          </w:tcPr>
          <w:p>
            <w:pPr>
              <w:pStyle w:val="TableContents"/>
              <w:bidi w:val="0"/>
              <w:spacing w:before="0" w:after="283"/>
              <w:jc w:val="left"/>
              <w:rPr>
                <w:sz w:val="4"/>
                <w:szCs w:val="4"/>
              </w:rPr>
            </w:pPr>
            <w:r>
              <w:rPr>
                <w:sz w:val="4"/>
                <w:szCs w:val="4"/>
              </w:rPr>
            </w:r>
          </w:p>
        </w:tc>
        <w:tc>
          <w:tcPr>
            <w:tcW w:w="1043" w:type="dxa"/>
            <w:gridSpan w:val="4"/>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c>
          <w:tcPr>
            <w:tcW w:w="1452"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19" w:type="dxa"/>
            <w:gridSpan w:val="4"/>
            <w:tcBorders/>
            <w:vAlign w:val="center"/>
          </w:tcPr>
          <w:p>
            <w:pPr>
              <w:pStyle w:val="TableContents"/>
              <w:bidi w:val="0"/>
              <w:spacing w:before="0" w:after="283"/>
              <w:jc w:val="left"/>
              <w:rPr>
                <w:sz w:val="4"/>
                <w:szCs w:val="4"/>
              </w:rPr>
            </w:pPr>
            <w:r>
              <w:rPr>
                <w:sz w:val="4"/>
                <w:szCs w:val="4"/>
              </w:rPr>
            </w:r>
          </w:p>
        </w:tc>
        <w:tc>
          <w:tcPr>
            <w:tcW w:w="1328" w:type="dxa"/>
            <w:gridSpan w:val="4"/>
            <w:tcBorders/>
            <w:vAlign w:val="center"/>
          </w:tcPr>
          <w:p>
            <w:pPr>
              <w:pStyle w:val="TableContents"/>
              <w:bidi w:val="0"/>
              <w:spacing w:before="0" w:after="283"/>
              <w:jc w:val="left"/>
              <w:rPr>
                <w:sz w:val="4"/>
                <w:szCs w:val="4"/>
              </w:rPr>
            </w:pPr>
            <w:r>
              <w:rPr>
                <w:sz w:val="4"/>
                <w:szCs w:val="4"/>
              </w:rPr>
            </w:r>
          </w:p>
        </w:tc>
      </w:tr>
      <w:tr>
        <w:trPr/>
        <w:tc>
          <w:tcPr>
            <w:tcW w:w="315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Key Operating Indicators</w:t>
            </w:r>
          </w:p>
        </w:tc>
        <w:tc>
          <w:tcPr>
            <w:tcW w:w="134" w:type="dxa"/>
            <w:tcBorders/>
            <w:vAlign w:val="bottom"/>
          </w:tcPr>
          <w:p>
            <w:pPr>
              <w:pStyle w:val="TableContents"/>
              <w:bidi w:val="0"/>
              <w:spacing w:before="0" w:after="283"/>
              <w:jc w:val="left"/>
              <w:rPr/>
            </w:pPr>
            <w:r>
              <w:rPr/>
              <w:t>  </w:t>
            </w:r>
          </w:p>
        </w:tc>
        <w:tc>
          <w:tcPr>
            <w:tcW w:w="6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w:t>
            </w:r>
          </w:p>
        </w:tc>
        <w:tc>
          <w:tcPr>
            <w:tcW w:w="35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w:t>
            </w:r>
          </w:p>
        </w:tc>
        <w:tc>
          <w:tcPr>
            <w:tcW w:w="361" w:type="dxa"/>
            <w:tcBorders/>
            <w:vAlign w:val="bottom"/>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ASMs (millions)</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9,256</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9,080</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1.9</w:t>
            </w:r>
          </w:p>
        </w:tc>
        <w:tc>
          <w:tcPr>
            <w:tcW w:w="35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17,853</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17,777</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0.4</w:t>
            </w:r>
          </w:p>
        </w:tc>
        <w:tc>
          <w:tcPr>
            <w:tcW w:w="361" w:type="dxa"/>
            <w:tcBorders/>
            <w:shd w:fill="CCEEFF" w:val="clear"/>
            <w:vAlign w:val="bottom"/>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Passengers (‘000)</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6,014</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6,180</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(2.7</w:t>
            </w:r>
          </w:p>
        </w:tc>
        <w:tc>
          <w:tcPr>
            <w:tcW w:w="35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11,805</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12,057</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(2.1</w:t>
            </w:r>
          </w:p>
        </w:tc>
        <w:tc>
          <w:tcPr>
            <w:tcW w:w="361" w:type="dxa"/>
            <w:tcBorders/>
            <w:vAlign w:val="bottom"/>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 / ASM (USD cents)</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16.0</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14.5</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10.5</w:t>
            </w:r>
          </w:p>
        </w:tc>
        <w:tc>
          <w:tcPr>
            <w:tcW w:w="35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15.8</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14.1</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12.5</w:t>
            </w:r>
          </w:p>
        </w:tc>
        <w:tc>
          <w:tcPr>
            <w:tcW w:w="361" w:type="dxa"/>
            <w:tcBorders/>
            <w:shd w:fill="CCEEFF" w:val="clear"/>
            <w:vAlign w:val="bottom"/>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Total cost / ASM (USD cents)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15.3</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11.9</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28.6</w:t>
            </w:r>
          </w:p>
        </w:tc>
        <w:tc>
          <w:tcPr>
            <w:tcW w:w="35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14.6</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11.9</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22.6</w:t>
            </w:r>
          </w:p>
        </w:tc>
        <w:tc>
          <w:tcPr>
            <w:tcW w:w="361" w:type="dxa"/>
            <w:tcBorders/>
            <w:vAlign w:val="bottom"/>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 excluding fuel / ASM (USD cents)</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10.0</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8.9</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12.3</w:t>
            </w:r>
          </w:p>
        </w:tc>
        <w:tc>
          <w:tcPr>
            <w:tcW w:w="35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10.1</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8.8</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14.9</w:t>
            </w:r>
          </w:p>
        </w:tc>
        <w:tc>
          <w:tcPr>
            <w:tcW w:w="361" w:type="dxa"/>
            <w:tcBorders/>
            <w:shd w:fill="CCEEFF" w:val="clear"/>
            <w:vAlign w:val="bottom"/>
          </w:tcPr>
          <w:p>
            <w:pPr>
              <w:pStyle w:val="TableContents"/>
              <w:bidi w:val="0"/>
              <w:spacing w:before="0" w:after="283"/>
              <w:jc w:val="left"/>
              <w:rPr/>
            </w:pPr>
            <w:r>
              <w:rPr/>
              <w:t>% </w:t>
            </w:r>
          </w:p>
        </w:tc>
      </w:tr>
      <w:tr>
        <w:trPr>
          <w:trHeight w:val="240" w:hRule="atLeast"/>
        </w:trPr>
        <w:tc>
          <w:tcPr>
            <w:tcW w:w="3157" w:type="dxa"/>
            <w:tcBorders/>
            <w:vAlign w:val="center"/>
          </w:tcPr>
          <w:p>
            <w:pPr>
              <w:pStyle w:val="TableContents"/>
              <w:bidi w:val="0"/>
              <w:spacing w:before="0" w:after="283"/>
              <w:jc w:val="left"/>
              <w:rPr>
                <w:sz w:val="4"/>
                <w:szCs w:val="4"/>
              </w:rPr>
            </w:pPr>
            <w:r>
              <w:rPr>
                <w:sz w:val="4"/>
                <w:szCs w:val="4"/>
              </w:rPr>
            </w:r>
          </w:p>
        </w:tc>
        <w:tc>
          <w:tcPr>
            <w:tcW w:w="1043" w:type="dxa"/>
            <w:gridSpan w:val="4"/>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c>
          <w:tcPr>
            <w:tcW w:w="1452"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19" w:type="dxa"/>
            <w:gridSpan w:val="4"/>
            <w:tcBorders/>
            <w:vAlign w:val="center"/>
          </w:tcPr>
          <w:p>
            <w:pPr>
              <w:pStyle w:val="TableContents"/>
              <w:bidi w:val="0"/>
              <w:spacing w:before="0" w:after="283"/>
              <w:jc w:val="left"/>
              <w:rPr>
                <w:sz w:val="4"/>
                <w:szCs w:val="4"/>
              </w:rPr>
            </w:pPr>
            <w:r>
              <w:rPr>
                <w:sz w:val="4"/>
                <w:szCs w:val="4"/>
              </w:rPr>
            </w:r>
          </w:p>
        </w:tc>
        <w:tc>
          <w:tcPr>
            <w:tcW w:w="1328" w:type="dxa"/>
            <w:gridSpan w:val="4"/>
            <w:tcBorders/>
            <w:vAlign w:val="center"/>
          </w:tcPr>
          <w:p>
            <w:pPr>
              <w:pStyle w:val="TableContents"/>
              <w:bidi w:val="0"/>
              <w:spacing w:before="0" w:after="283"/>
              <w:jc w:val="left"/>
              <w:rPr>
                <w:sz w:val="4"/>
                <w:szCs w:val="4"/>
              </w:rPr>
            </w:pPr>
            <w:r>
              <w:rPr>
                <w:sz w:val="4"/>
                <w:szCs w:val="4"/>
              </w:rPr>
            </w:r>
          </w:p>
        </w:tc>
      </w:tr>
      <w:tr>
        <w:trPr/>
        <w:tc>
          <w:tcPr>
            <w:tcW w:w="315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Foreign Exchange*</w:t>
            </w:r>
          </w:p>
        </w:tc>
        <w:tc>
          <w:tcPr>
            <w:tcW w:w="134" w:type="dxa"/>
            <w:tcBorders/>
            <w:vAlign w:val="bottom"/>
          </w:tcPr>
          <w:p>
            <w:pPr>
              <w:pStyle w:val="TableContents"/>
              <w:bidi w:val="0"/>
              <w:spacing w:before="0" w:after="283"/>
              <w:jc w:val="left"/>
              <w:rPr/>
            </w:pPr>
            <w:r>
              <w:rPr/>
              <w:t>  </w:t>
            </w:r>
          </w:p>
        </w:tc>
        <w:tc>
          <w:tcPr>
            <w:tcW w:w="6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w:t>
            </w:r>
          </w:p>
        </w:tc>
        <w:tc>
          <w:tcPr>
            <w:tcW w:w="35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w:t>
            </w:r>
          </w:p>
        </w:tc>
        <w:tc>
          <w:tcPr>
            <w:tcW w:w="361" w:type="dxa"/>
            <w:tcBorders/>
            <w:vAlign w:val="bottom"/>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17.40</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19.61</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(11.3</w:t>
            </w:r>
          </w:p>
        </w:tc>
        <w:tc>
          <w:tcPr>
            <w:tcW w:w="35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17.49</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20.02</w:t>
            </w:r>
          </w:p>
        </w:tc>
        <w:tc>
          <w:tcPr>
            <w:tcW w:w="28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(12.7</w:t>
            </w:r>
          </w:p>
        </w:tc>
        <w:tc>
          <w:tcPr>
            <w:tcW w:w="36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* Source: Company with information from Banxico. Figures may not sum to total due to rounding.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800475" cy="4406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800475" cy="44069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SECOND QUARTER 2026 RESULTS </w:t>
      </w:r>
    </w:p>
    <w:p>
      <w:pPr>
        <w:pStyle w:val="TextBody"/>
        <w:bidi w:val="0"/>
        <w:spacing w:before="120" w:after="0"/>
        <w:jc w:val="left"/>
        <w:rPr>
          <w:rFonts w:ascii="Times New Roman" w:hAnsi="Times New Roman"/>
          <w:b/>
          <w:sz w:val="20"/>
        </w:rPr>
      </w:pPr>
      <w:r>
        <w:rPr>
          <w:rFonts w:ascii="Times New Roman" w:hAnsi="Times New Roman"/>
          <w:b/>
          <w:sz w:val="20"/>
        </w:rPr>
        <w:t xml:space="preserve">Income Statement Discussion </w:t>
      </w:r>
    </w:p>
    <w:p>
      <w:pPr>
        <w:pStyle w:val="TextBody"/>
        <w:bidi w:val="0"/>
        <w:spacing w:before="120" w:after="0"/>
        <w:jc w:val="left"/>
        <w:rPr>
          <w:rFonts w:ascii="Times New Roman" w:hAnsi="Times New Roman"/>
          <w:b/>
          <w:sz w:val="20"/>
        </w:rPr>
      </w:pPr>
      <w:r>
        <w:rPr>
          <w:rFonts w:ascii="Times New Roman" w:hAnsi="Times New Roman"/>
          <w:b/>
          <w:sz w:val="20"/>
        </w:rPr>
        <w:t xml:space="preserve">Revenue </w:t>
      </w:r>
    </w:p>
    <w:p>
      <w:pPr>
        <w:pStyle w:val="TextBody"/>
        <w:bidi w:val="0"/>
        <w:spacing w:before="120" w:after="0"/>
        <w:jc w:val="left"/>
        <w:rPr>
          <w:rFonts w:ascii="Times New Roman" w:hAnsi="Times New Roman"/>
          <w:sz w:val="20"/>
        </w:rPr>
      </w:pPr>
      <w:r>
        <w:rPr>
          <w:rFonts w:ascii="Times New Roman" w:hAnsi="Times New Roman"/>
          <w:b/>
          <w:sz w:val="20"/>
        </w:rPr>
        <w:t xml:space="preserve">Total revenue </w:t>
      </w:r>
      <w:r>
        <w:rPr>
          <w:rFonts w:ascii="Times New Roman" w:hAnsi="Times New Roman"/>
          <w:sz w:val="20"/>
        </w:rPr>
        <w:t xml:space="preserve">for the second quarter of 2026 reached $1.5 billion, a 12.6% year-over-year increase, setting a new second quarter record for the Company. Revenue growth was driven by resilient demand across the network, despite the temporary moderation observed in June related to World Cup shifts. Performance was further supported by continued progress in revenue initiatives and disciplined pricing actions implemented to mitigate higher fuel costs. The strengthening of the Mexican peso also contributed favorably to revenue performance during the quarter. </w:t>
      </w:r>
    </w:p>
    <w:p>
      <w:pPr>
        <w:pStyle w:val="TextBody"/>
        <w:bidi w:val="0"/>
        <w:spacing w:before="240" w:after="0"/>
        <w:jc w:val="left"/>
        <w:rPr>
          <w:rFonts w:ascii="Times New Roman" w:hAnsi="Times New Roman"/>
          <w:sz w:val="20"/>
        </w:rPr>
      </w:pPr>
      <w:r>
        <w:rPr>
          <w:rFonts w:ascii="Times New Roman" w:hAnsi="Times New Roman"/>
          <w:sz w:val="20"/>
        </w:rPr>
        <w:t xml:space="preserve">Our </w:t>
      </w:r>
      <w:r>
        <w:rPr>
          <w:rFonts w:ascii="Times New Roman" w:hAnsi="Times New Roman"/>
          <w:b/>
          <w:sz w:val="20"/>
        </w:rPr>
        <w:t>premium revenue</w:t>
      </w:r>
      <w:r>
        <w:rPr>
          <w:rFonts w:ascii="Times New Roman" w:hAnsi="Times New Roman"/>
          <w:sz w:val="20"/>
        </w:rPr>
        <w:t xml:space="preserve">(4) mix reached 43% of passenger-related revenue, 1 p.p. above 2Q25, reflecting sustained customer demand for premium products and ancillary services. Maintaining this revenue mix in a high-yield environment underscores the Company’s ability to capture premium customer demand and demonstrates the effectiveness of its business model. </w:t>
      </w:r>
    </w:p>
    <w:p>
      <w:pPr>
        <w:pStyle w:val="TextBody"/>
        <w:bidi w:val="0"/>
        <w:spacing w:before="240" w:after="0"/>
        <w:jc w:val="left"/>
        <w:rPr>
          <w:rFonts w:ascii="Times New Roman" w:hAnsi="Times New Roman"/>
          <w:sz w:val="20"/>
        </w:rPr>
      </w:pPr>
      <w:r>
        <w:rPr>
          <w:rFonts w:ascii="Times New Roman" w:hAnsi="Times New Roman"/>
          <w:b/>
          <w:sz w:val="20"/>
        </w:rPr>
        <w:t>Capacity</w:t>
      </w:r>
      <w:r>
        <w:rPr>
          <w:rFonts w:ascii="Times New Roman" w:hAnsi="Times New Roman"/>
          <w:sz w:val="20"/>
        </w:rPr>
        <w:t xml:space="preserve"> increased 1.9% year over year, in line with the Company’s guidance. Consistent with its demand expectations, the Company proactively adjusted capacity throughout the quarter to align with market conditions, prioritizing profitability while maintaining a disciplined approach to network deployment. </w:t>
      </w:r>
    </w:p>
    <w:p>
      <w:pPr>
        <w:pStyle w:val="TextBody"/>
        <w:bidi w:val="0"/>
        <w:spacing w:before="240" w:after="0"/>
        <w:jc w:val="left"/>
        <w:rPr>
          <w:rFonts w:ascii="Times New Roman" w:hAnsi="Times New Roman"/>
          <w:sz w:val="20"/>
        </w:rPr>
      </w:pPr>
      <w:r>
        <w:rPr>
          <w:rFonts w:ascii="Times New Roman" w:hAnsi="Times New Roman"/>
          <w:b/>
          <w:sz w:val="20"/>
        </w:rPr>
        <w:t xml:space="preserve">Total revenue per Available Seat Mile (“TRASM”) </w:t>
      </w:r>
      <w:r>
        <w:rPr>
          <w:rFonts w:ascii="Times New Roman" w:hAnsi="Times New Roman"/>
          <w:sz w:val="20"/>
        </w:rPr>
        <w:t xml:space="preserve">reached 16.0¢, marking a 10.5% year-over-year increase. The upward trend in TRASM was largely attributed to a significant increase in international passenger revenue, and the appreciation of the Mexican peso.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52"/>
        <w:gridCol w:w="153"/>
        <w:gridCol w:w="60"/>
        <w:gridCol w:w="573"/>
        <w:gridCol w:w="60"/>
        <w:gridCol w:w="153"/>
        <w:gridCol w:w="60"/>
        <w:gridCol w:w="573"/>
        <w:gridCol w:w="60"/>
        <w:gridCol w:w="153"/>
        <w:gridCol w:w="60"/>
        <w:gridCol w:w="473"/>
        <w:gridCol w:w="320"/>
        <w:gridCol w:w="102"/>
        <w:gridCol w:w="60"/>
        <w:gridCol w:w="573"/>
        <w:gridCol w:w="60"/>
        <w:gridCol w:w="153"/>
        <w:gridCol w:w="60"/>
        <w:gridCol w:w="573"/>
        <w:gridCol w:w="60"/>
        <w:gridCol w:w="153"/>
        <w:gridCol w:w="60"/>
        <w:gridCol w:w="473"/>
        <w:gridCol w:w="328"/>
      </w:tblGrid>
      <w:tr>
        <w:trPr/>
        <w:tc>
          <w:tcPr>
            <w:tcW w:w="4852"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48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222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3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22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328" w:type="dxa"/>
            <w:tcBorders/>
            <w:vAlign w:val="bottom"/>
          </w:tcPr>
          <w:p>
            <w:pPr>
              <w:pStyle w:val="TableContents"/>
              <w:bidi w:val="0"/>
              <w:spacing w:before="0" w:after="283"/>
              <w:jc w:val="left"/>
              <w:rPr/>
            </w:pPr>
            <w:r>
              <w:rPr/>
              <w:t> </w:t>
            </w:r>
          </w:p>
        </w:tc>
      </w:tr>
      <w:tr>
        <w:trPr/>
        <w:tc>
          <w:tcPr>
            <w:tcW w:w="4852" w:type="dxa"/>
            <w:tcBorders/>
            <w:vAlign w:val="bottom"/>
          </w:tcPr>
          <w:p>
            <w:pPr>
              <w:pStyle w:val="TableContents"/>
              <w:bidi w:val="0"/>
              <w:spacing w:before="0" w:after="283"/>
              <w:jc w:val="left"/>
              <w:rPr>
                <w:b/>
              </w:rPr>
            </w:pPr>
            <w:r>
              <w:rPr>
                <w:b/>
              </w:rPr>
              <w:t>Total revenue (USD million)</w:t>
            </w:r>
          </w:p>
        </w:tc>
        <w:tc>
          <w:tcPr>
            <w:tcW w:w="153"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5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w:t>
            </w:r>
          </w:p>
        </w:tc>
        <w:tc>
          <w:tcPr>
            <w:tcW w:w="3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5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w:t>
            </w:r>
          </w:p>
        </w:tc>
        <w:tc>
          <w:tcPr>
            <w:tcW w:w="328" w:type="dxa"/>
            <w:tcBorders/>
            <w:vAlign w:val="bottom"/>
          </w:tcPr>
          <w:p>
            <w:pPr>
              <w:pStyle w:val="TableContents"/>
              <w:bidi w:val="0"/>
              <w:spacing w:before="0" w:after="283"/>
              <w:jc w:val="left"/>
              <w:rPr/>
            </w:pPr>
            <w:r>
              <w:rPr/>
              <w:t> </w:t>
            </w:r>
          </w:p>
        </w:tc>
      </w:tr>
      <w:tr>
        <w:trPr/>
        <w:tc>
          <w:tcPr>
            <w:tcW w:w="4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521</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473</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right"/>
              <w:rPr/>
            </w:pPr>
            <w:r>
              <w:rPr/>
              <w:t>10.2</w:t>
            </w:r>
          </w:p>
        </w:tc>
        <w:tc>
          <w:tcPr>
            <w:tcW w:w="3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1,015</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911</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right"/>
              <w:rPr/>
            </w:pPr>
            <w:r>
              <w:rPr/>
              <w:t>11.4</w:t>
            </w:r>
          </w:p>
        </w:tc>
        <w:tc>
          <w:tcPr>
            <w:tcW w:w="328" w:type="dxa"/>
            <w:tcBorders/>
            <w:shd w:fill="CCEEFF" w:val="clear"/>
            <w:vAlign w:val="bottom"/>
          </w:tcPr>
          <w:p>
            <w:pPr>
              <w:pStyle w:val="TableContents"/>
              <w:bidi w:val="0"/>
              <w:spacing w:before="0" w:after="283"/>
              <w:jc w:val="left"/>
              <w:rPr/>
            </w:pPr>
            <w:r>
              <w:rPr/>
              <w:t>% </w:t>
            </w:r>
          </w:p>
        </w:tc>
      </w:tr>
      <w:tr>
        <w:trPr/>
        <w:tc>
          <w:tcPr>
            <w:tcW w:w="4852"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958</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841</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13.9</w:t>
            </w:r>
          </w:p>
        </w:tc>
        <w:tc>
          <w:tcPr>
            <w:tcW w:w="3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1,806</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1,587</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13.8</w:t>
            </w:r>
          </w:p>
        </w:tc>
        <w:tc>
          <w:tcPr>
            <w:tcW w:w="328" w:type="dxa"/>
            <w:tcBorders/>
            <w:vAlign w:val="bottom"/>
          </w:tcPr>
          <w:p>
            <w:pPr>
              <w:pStyle w:val="TableContents"/>
              <w:bidi w:val="0"/>
              <w:spacing w:before="0" w:after="283"/>
              <w:jc w:val="left"/>
              <w:rPr/>
            </w:pPr>
            <w:r>
              <w:rPr/>
              <w:t>% </w:t>
            </w:r>
          </w:p>
        </w:tc>
      </w:tr>
      <w:tr>
        <w:trPr/>
        <w:tc>
          <w:tcPr>
            <w:tcW w:w="485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b/>
              </w:rPr>
            </w:pPr>
            <w:r>
              <w:rPr>
                <w:b/>
              </w:rPr>
              <w:t>1,479</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b/>
              </w:rPr>
            </w:pPr>
            <w:r>
              <w:rPr>
                <w:b/>
              </w:rPr>
              <w:t>1,314</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right"/>
              <w:rPr>
                <w:b/>
              </w:rPr>
            </w:pPr>
            <w:r>
              <w:rPr>
                <w:b/>
              </w:rPr>
              <w:t>12.6</w:t>
            </w:r>
          </w:p>
        </w:tc>
        <w:tc>
          <w:tcPr>
            <w:tcW w:w="320" w:type="dxa"/>
            <w:tcBorders/>
            <w:shd w:fill="CCEEFF" w:val="clear"/>
            <w:vAlign w:val="bottom"/>
          </w:tcPr>
          <w:p>
            <w:pPr>
              <w:pStyle w:val="TableContents"/>
              <w:bidi w:val="0"/>
              <w:spacing w:before="0" w:after="283"/>
              <w:jc w:val="left"/>
              <w:rPr>
                <w:b/>
              </w:rPr>
            </w:pPr>
            <w:r>
              <w:rPr>
                <w:b/>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b/>
              </w:rPr>
            </w:pPr>
            <w:r>
              <w:rPr>
                <w:b/>
              </w:rPr>
              <w:t>2,821</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b/>
              </w:rPr>
            </w:pPr>
            <w:r>
              <w:rPr>
                <w:b/>
              </w:rPr>
              <w:t>2,498</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right"/>
              <w:rPr>
                <w:b/>
              </w:rPr>
            </w:pPr>
            <w:r>
              <w:rPr>
                <w:b/>
              </w:rPr>
              <w:t>12.9</w:t>
            </w:r>
          </w:p>
        </w:tc>
        <w:tc>
          <w:tcPr>
            <w:tcW w:w="328" w:type="dxa"/>
            <w:tcBorders/>
            <w:shd w:fill="CCEEFF" w:val="clear"/>
            <w:vAlign w:val="bottom"/>
          </w:tcPr>
          <w:p>
            <w:pPr>
              <w:pStyle w:val="TableContents"/>
              <w:bidi w:val="0"/>
              <w:spacing w:before="0" w:after="283"/>
              <w:jc w:val="left"/>
              <w:rPr>
                <w:b/>
              </w:rPr>
            </w:pPr>
            <w:r>
              <w:rPr>
                <w:b/>
              </w:rPr>
              <w:t>% </w:t>
            </w:r>
          </w:p>
        </w:tc>
      </w:tr>
      <w:tr>
        <w:trPr>
          <w:trHeight w:val="240" w:hRule="atLeast"/>
        </w:trPr>
        <w:tc>
          <w:tcPr>
            <w:tcW w:w="10205" w:type="dxa"/>
            <w:gridSpan w:val="25"/>
            <w:tcBorders/>
            <w:vAlign w:val="center"/>
          </w:tcPr>
          <w:p>
            <w:pPr>
              <w:pStyle w:val="TableContents"/>
              <w:bidi w:val="0"/>
              <w:spacing w:before="0" w:after="283"/>
              <w:jc w:val="left"/>
              <w:rPr>
                <w:sz w:val="4"/>
                <w:szCs w:val="4"/>
              </w:rPr>
            </w:pPr>
            <w:r>
              <w:rPr>
                <w:sz w:val="4"/>
                <w:szCs w:val="4"/>
              </w:rPr>
            </w:r>
          </w:p>
        </w:tc>
      </w:tr>
      <w:tr>
        <w:trPr/>
        <w:tc>
          <w:tcPr>
            <w:tcW w:w="9877" w:type="dxa"/>
            <w:gridSpan w:val="24"/>
            <w:tcBorders/>
          </w:tcPr>
          <w:p>
            <w:pPr>
              <w:pStyle w:val="TableContents"/>
              <w:bidi w:val="0"/>
              <w:spacing w:before="0" w:after="0"/>
              <w:jc w:val="left"/>
              <w:rPr>
                <w:rFonts w:ascii="Times New Roman" w:hAnsi="Times New Roman"/>
                <w:i/>
                <w:sz w:val="20"/>
              </w:rPr>
            </w:pPr>
            <w:r>
              <w:rPr>
                <w:rFonts w:ascii="Times New Roman" w:hAnsi="Times New Roman"/>
                <w:i/>
                <w:sz w:val="20"/>
              </w:rPr>
              <w:t>Figuresmay not sum to total due to rounding.</w:t>
            </w:r>
          </w:p>
        </w:tc>
        <w:tc>
          <w:tcPr>
            <w:tcW w:w="328" w:type="dxa"/>
            <w:tcBorders/>
          </w:tcPr>
          <w:p>
            <w:pPr>
              <w:pStyle w:val="TableContents"/>
              <w:bidi w:val="0"/>
              <w:spacing w:before="0" w:after="0"/>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In 2Q26, </w:t>
      </w:r>
      <w:r>
        <w:rPr>
          <w:rFonts w:ascii="Times New Roman" w:hAnsi="Times New Roman"/>
          <w:b/>
          <w:sz w:val="20"/>
        </w:rPr>
        <w:t>total operating expenses</w:t>
      </w:r>
      <w:r>
        <w:rPr>
          <w:rFonts w:ascii="Times New Roman" w:hAnsi="Times New Roman"/>
          <w:sz w:val="20"/>
        </w:rPr>
        <w:t xml:space="preserve">—including fuel, labor, maintenance, passenger and aircraft services, aircraft leases, selling, general and administrative expenses, depreciation and amortization and other expenses—reached $1.4 billion, an increase of 30.3% compared to 2Q25. The increase was primarily driven by elevated fuel costs resulting from global geopolitical events that began in late February, with market prices remaining elevated through the quarter. As a result, fuel expense increased by approximately $219.3 million year-over-year, exceeding our second-quarter guidance by approximately $30 million. Despite this additional fuel headwind, Aeromexico delivered a strong performance, with total revenue increasing by $165.6 million year-over-year. This enabled the Company to recapture approximately 75% of the incremental fuel cost.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800475" cy="4406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800475" cy="44069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Excluding fuel, operating expenses rose 13.4% year over year. The increase primarily reflected three factors: the continued strength of the Mexican peso, inflationary pressures on wages, salaries, and benefits, and higher depreciation and amortization related to fleet growth in 2025. </w:t>
      </w:r>
    </w:p>
    <w:p>
      <w:pPr>
        <w:pStyle w:val="TextBody"/>
        <w:bidi w:val="0"/>
        <w:spacing w:before="240" w:after="0"/>
        <w:jc w:val="left"/>
        <w:rPr>
          <w:rFonts w:ascii="Times New Roman" w:hAnsi="Times New Roman"/>
          <w:sz w:val="20"/>
        </w:rPr>
      </w:pPr>
      <w:r>
        <w:rPr>
          <w:rFonts w:ascii="Times New Roman" w:hAnsi="Times New Roman"/>
          <w:b/>
          <w:sz w:val="20"/>
        </w:rPr>
        <w:t>Fuel cost per gallon(5)</w:t>
      </w:r>
      <w:r>
        <w:rPr>
          <w:rFonts w:ascii="Times New Roman" w:hAnsi="Times New Roman"/>
          <w:sz w:val="20"/>
        </w:rPr>
        <w:t xml:space="preserve"> increased by 79.6% compared to 2Q25, averaging 4.2 USD per gallon in 2Q26 compared to 2.3 USD per gallon in 2Q25. </w:t>
      </w:r>
      <w:r>
        <w:rPr>
          <w:rFonts w:ascii="Times New Roman" w:hAnsi="Times New Roman"/>
          <w:b/>
          <w:sz w:val="20"/>
        </w:rPr>
        <w:t>Fuel consumption</w:t>
      </w:r>
      <w:r>
        <w:rPr>
          <w:rFonts w:ascii="Times New Roman" w:hAnsi="Times New Roman"/>
          <w:sz w:val="20"/>
        </w:rPr>
        <w:t xml:space="preserve"> remained stable year-over-year, while </w:t>
      </w:r>
      <w:r>
        <w:rPr>
          <w:rFonts w:ascii="Times New Roman" w:hAnsi="Times New Roman"/>
          <w:b/>
          <w:sz w:val="20"/>
        </w:rPr>
        <w:t xml:space="preserve">fuel burn per ASM </w:t>
      </w:r>
      <w:r>
        <w:rPr>
          <w:rFonts w:ascii="Times New Roman" w:hAnsi="Times New Roman"/>
          <w:sz w:val="20"/>
        </w:rPr>
        <w:t xml:space="preserve">(liters of fuel consumed per ASM) decreased by 1.7%, mainly due to a more efficient fleet mix. </w:t>
      </w:r>
    </w:p>
    <w:p>
      <w:pPr>
        <w:pStyle w:val="TextBody"/>
        <w:bidi w:val="0"/>
        <w:spacing w:before="240" w:after="0"/>
        <w:jc w:val="left"/>
        <w:rPr>
          <w:rFonts w:ascii="Times New Roman" w:hAnsi="Times New Roman"/>
          <w:sz w:val="20"/>
        </w:rPr>
      </w:pPr>
      <w:r>
        <w:rPr>
          <w:rFonts w:ascii="Times New Roman" w:hAnsi="Times New Roman"/>
          <w:b/>
          <w:sz w:val="20"/>
        </w:rPr>
        <w:t>Cost per ASM excluding fuel (CASM-Ex)</w:t>
      </w:r>
      <w:r>
        <w:rPr>
          <w:rFonts w:ascii="Times New Roman" w:hAnsi="Times New Roman"/>
          <w:sz w:val="20"/>
        </w:rPr>
        <w:t xml:space="preserve"> was 10.0¢ in 2Q26, representing an increase of 12.3% compared to the same period in 2025. This rise was primarily driven by an 11.3% appreciation of the Mexican peso, increased ownership costs attributable to additions to the aircraft fleet in 2025, higher labor expenses associated with inflation-related salary adjustments, and the expansion of international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Adjusted EBITDAR(2) and Operating Income </w:t>
      </w:r>
    </w:p>
    <w:p>
      <w:pPr>
        <w:pStyle w:val="TextBody"/>
        <w:bidi w:val="0"/>
        <w:spacing w:before="120" w:after="0"/>
        <w:jc w:val="left"/>
        <w:rPr>
          <w:rFonts w:ascii="Times New Roman" w:hAnsi="Times New Roman"/>
          <w:sz w:val="20"/>
        </w:rPr>
      </w:pPr>
      <w:r>
        <w:rPr>
          <w:rFonts w:ascii="Times New Roman" w:hAnsi="Times New Roman"/>
          <w:b/>
          <w:sz w:val="20"/>
        </w:rPr>
        <w:t>Adjusted EBITDAR(2)</w:t>
      </w:r>
      <w:r>
        <w:rPr>
          <w:rFonts w:ascii="Times New Roman" w:hAnsi="Times New Roman"/>
          <w:sz w:val="20"/>
        </w:rPr>
        <w:t xml:space="preserve"> amounted to $264.2 million with a 17.9% margin, in line with the Company’s guidance despite elevated fuel costs and temporary demand shifts associated with the World Cup. Total fuel expense increased by $219.3 year over year, approximately $30.0 million above the level assumed in our second-quarter guidance as market fuel prices remained higher than expected throughout the quarter. </w:t>
      </w:r>
    </w:p>
    <w:p>
      <w:pPr>
        <w:pStyle w:val="TextBody"/>
        <w:bidi w:val="0"/>
        <w:spacing w:before="240" w:after="0"/>
        <w:jc w:val="left"/>
        <w:rPr>
          <w:rFonts w:ascii="Times New Roman" w:hAnsi="Times New Roman"/>
          <w:sz w:val="20"/>
        </w:rPr>
      </w:pPr>
      <w:r>
        <w:rPr>
          <w:rFonts w:ascii="Times New Roman" w:hAnsi="Times New Roman"/>
          <w:b/>
          <w:sz w:val="20"/>
        </w:rPr>
        <w:t xml:space="preserve">Operating income </w:t>
      </w:r>
      <w:r>
        <w:rPr>
          <w:rFonts w:ascii="Times New Roman" w:hAnsi="Times New Roman"/>
          <w:sz w:val="20"/>
        </w:rPr>
        <w:t xml:space="preserve">for the second quarter recorded $67.9 million, representing a 4.6% operating margin, also within the Company’s guidance range. </w:t>
      </w:r>
    </w:p>
    <w:p>
      <w:pPr>
        <w:pStyle w:val="TextBody"/>
        <w:bidi w:val="0"/>
        <w:spacing w:before="360" w:after="0"/>
        <w:jc w:val="left"/>
        <w:rPr>
          <w:rFonts w:ascii="Times New Roman" w:hAnsi="Times New Roman"/>
          <w:b/>
          <w:sz w:val="20"/>
        </w:rPr>
      </w:pPr>
      <w:r>
        <w:rPr>
          <w:rFonts w:ascii="Times New Roman" w:hAnsi="Times New Roman"/>
          <w:b/>
          <w:sz w:val="20"/>
        </w:rPr>
        <w:t xml:space="preserve">Net Financing Cost </w:t>
      </w:r>
    </w:p>
    <w:p>
      <w:pPr>
        <w:pStyle w:val="TextBody"/>
        <w:bidi w:val="0"/>
        <w:spacing w:before="120" w:after="0"/>
        <w:jc w:val="left"/>
        <w:rPr>
          <w:rFonts w:ascii="Times New Roman" w:hAnsi="Times New Roman"/>
          <w:sz w:val="20"/>
        </w:rPr>
      </w:pPr>
      <w:r>
        <w:rPr>
          <w:rFonts w:ascii="Times New Roman" w:hAnsi="Times New Roman"/>
          <w:b/>
          <w:sz w:val="20"/>
        </w:rPr>
        <w:t>Net financing costs</w:t>
      </w:r>
      <w:r>
        <w:rPr>
          <w:rFonts w:ascii="Times New Roman" w:hAnsi="Times New Roman"/>
          <w:sz w:val="20"/>
        </w:rPr>
        <w:t xml:space="preserve"> decreased by 6.5% compared to the same period in 2025, mainly driven by lower net foreign exchange losses. In 2Q26, foreign exchange losses decreased by $25.4 million, while financial expenses increased by $15.9 million, largely reflecting higher interest expenses from lease obligations associated with fleet expansion. </w:t>
      </w:r>
    </w:p>
    <w:p>
      <w:pPr>
        <w:pStyle w:val="TextBody"/>
        <w:bidi w:val="0"/>
        <w:spacing w:before="360" w:after="0"/>
        <w:jc w:val="left"/>
        <w:rPr>
          <w:rFonts w:ascii="Times New Roman" w:hAnsi="Times New Roman"/>
          <w:b/>
          <w:sz w:val="20"/>
        </w:rPr>
      </w:pPr>
      <w:r>
        <w:rPr>
          <w:rFonts w:ascii="Times New Roman" w:hAnsi="Times New Roman"/>
          <w:b/>
          <w:sz w:val="20"/>
        </w:rPr>
        <w:t xml:space="preserve">Net Income (Loss) </w:t>
      </w:r>
    </w:p>
    <w:p>
      <w:pPr>
        <w:pStyle w:val="TextBody"/>
        <w:bidi w:val="0"/>
        <w:spacing w:before="120" w:after="0"/>
        <w:jc w:val="left"/>
        <w:rPr>
          <w:rFonts w:ascii="Times New Roman" w:hAnsi="Times New Roman"/>
          <w:sz w:val="20"/>
        </w:rPr>
      </w:pPr>
      <w:r>
        <w:rPr>
          <w:rFonts w:ascii="Times New Roman" w:hAnsi="Times New Roman"/>
          <w:b/>
          <w:sz w:val="20"/>
        </w:rPr>
        <w:t>Net loss</w:t>
      </w:r>
      <w:r>
        <w:rPr>
          <w:rFonts w:ascii="Times New Roman" w:hAnsi="Times New Roman"/>
          <w:sz w:val="20"/>
        </w:rPr>
        <w:t xml:space="preserve"> in 2Q26 totaled $57.7 million. </w:t>
      </w:r>
    </w:p>
    <w:p>
      <w:pPr>
        <w:pStyle w:val="TextBody"/>
        <w:bidi w:val="0"/>
        <w:spacing w:before="360" w:after="0"/>
        <w:jc w:val="left"/>
        <w:rPr>
          <w:rFonts w:ascii="Times New Roman" w:hAnsi="Times New Roman"/>
          <w:b/>
          <w:sz w:val="20"/>
        </w:rPr>
      </w:pPr>
      <w:r>
        <w:rPr>
          <w:rFonts w:ascii="Times New Roman" w:hAnsi="Times New Roman"/>
          <w:b/>
          <w:sz w:val="20"/>
        </w:rPr>
        <w:t xml:space="preserve">BALANCE SHEET AND CASH FLOW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Aeroméxico reported </w:t>
      </w:r>
      <w:r>
        <w:rPr>
          <w:rFonts w:ascii="Times New Roman" w:hAnsi="Times New Roman"/>
          <w:b/>
          <w:sz w:val="20"/>
        </w:rPr>
        <w:t>cash and cash equivalents of</w:t>
      </w:r>
      <w:r>
        <w:rPr>
          <w:rFonts w:ascii="Times New Roman" w:hAnsi="Times New Roman"/>
          <w:sz w:val="20"/>
        </w:rPr>
        <w:t xml:space="preserve"> $1.0 billion. This is an increase of $114.3 million compared to the same quarter in the previous year and $12.5 million higher than at year-end 2025. These liquidity levels were achieved through strong operating cash generation, without incurring additional financial debt. Including the $200.0 million revolving credit facility secured in 3Q24, total liquidity reached $1.2 billion. This represents a ratio of </w:t>
      </w:r>
      <w:r>
        <w:rPr>
          <w:rFonts w:ascii="Times New Roman" w:hAnsi="Times New Roman"/>
          <w:b/>
          <w:sz w:val="20"/>
        </w:rPr>
        <w:t>liquidity</w:t>
      </w:r>
      <w:r>
        <w:rPr>
          <w:rFonts w:ascii="Times New Roman" w:hAnsi="Times New Roman"/>
          <w:sz w:val="20"/>
        </w:rPr>
        <w:t xml:space="preserve"> to last-twelve-month revenues of 21.8%. </w:t>
      </w:r>
    </w:p>
    <w:p>
      <w:pPr>
        <w:pStyle w:val="TextBody"/>
        <w:bidi w:val="0"/>
        <w:spacing w:before="240" w:after="0"/>
        <w:jc w:val="left"/>
        <w:rPr>
          <w:rFonts w:ascii="Times New Roman" w:hAnsi="Times New Roman"/>
          <w:sz w:val="20"/>
        </w:rPr>
      </w:pPr>
      <w:r>
        <w:rPr>
          <w:rFonts w:ascii="Times New Roman" w:hAnsi="Times New Roman"/>
          <w:sz w:val="20"/>
        </w:rPr>
        <w:t xml:space="preserve">In 2Q26, Aeroméxico generated $362.4 million in </w:t>
      </w:r>
      <w:r>
        <w:rPr>
          <w:rFonts w:ascii="Times New Roman" w:hAnsi="Times New Roman"/>
          <w:b/>
          <w:sz w:val="20"/>
        </w:rPr>
        <w:t>net cash from operating activities</w:t>
      </w:r>
      <w:r>
        <w:rPr>
          <w:rFonts w:ascii="Times New Roman" w:hAnsi="Times New Roman"/>
          <w:sz w:val="20"/>
        </w:rPr>
        <w:t xml:space="preserve">, which allowed the Company to continue with its investment and deleveraging programs. During the second quarter, the Company repaid $17.1 million of </w:t>
      </w:r>
      <w:r>
        <w:rPr>
          <w:rFonts w:ascii="Times New Roman" w:hAnsi="Times New Roman"/>
          <w:b/>
          <w:sz w:val="20"/>
        </w:rPr>
        <w:t>financial debt.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800475" cy="4406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800475" cy="44069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OPERATING FLEET </w:t>
      </w:r>
    </w:p>
    <w:p>
      <w:pPr>
        <w:pStyle w:val="TextBody"/>
        <w:bidi w:val="0"/>
        <w:spacing w:before="120" w:after="0"/>
        <w:jc w:val="left"/>
        <w:rPr>
          <w:rFonts w:ascii="Times New Roman" w:hAnsi="Times New Roman"/>
          <w:sz w:val="20"/>
        </w:rPr>
      </w:pPr>
      <w:r>
        <w:rPr>
          <w:rFonts w:ascii="Times New Roman" w:hAnsi="Times New Roman"/>
          <w:sz w:val="20"/>
        </w:rPr>
        <w:t xml:space="preserve">During 2Q26, Grupo Aeroméxico received two Boeing 737 MAX-8 and one Boeing 787-9 aircraft. Grupo Aeroméxico’s operating fleet was comprised of 169 aircraft as of June 30, 2026, with an average age of 8.9 years.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26"/>
        <w:gridCol w:w="154"/>
        <w:gridCol w:w="76"/>
        <w:gridCol w:w="484"/>
        <w:gridCol w:w="60"/>
        <w:gridCol w:w="154"/>
        <w:gridCol w:w="76"/>
        <w:gridCol w:w="484"/>
        <w:gridCol w:w="60"/>
        <w:gridCol w:w="154"/>
        <w:gridCol w:w="76"/>
        <w:gridCol w:w="484"/>
        <w:gridCol w:w="60"/>
        <w:gridCol w:w="154"/>
        <w:gridCol w:w="76"/>
        <w:gridCol w:w="484"/>
        <w:gridCol w:w="60"/>
        <w:gridCol w:w="153"/>
        <w:gridCol w:w="76"/>
        <w:gridCol w:w="484"/>
        <w:gridCol w:w="70"/>
      </w:tblGrid>
      <w:tr>
        <w:trPr/>
        <w:tc>
          <w:tcPr>
            <w:tcW w:w="6326"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632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Operating Fleet</w:t>
            </w:r>
          </w:p>
        </w:tc>
        <w:tc>
          <w:tcPr>
            <w:tcW w:w="154"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2Q25</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3Q25</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4Q25</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1Q26</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2Q26</w:t>
            </w:r>
          </w:p>
        </w:tc>
        <w:tc>
          <w:tcPr>
            <w:tcW w:w="70" w:type="dxa"/>
            <w:tcBorders/>
            <w:vAlign w:val="bottom"/>
          </w:tcPr>
          <w:p>
            <w:pPr>
              <w:pStyle w:val="TableContents"/>
              <w:bidi w:val="0"/>
              <w:spacing w:before="0" w:after="283"/>
              <w:jc w:val="left"/>
              <w:rPr/>
            </w:pPr>
            <w:r>
              <w:rPr/>
              <w:t> </w:t>
            </w:r>
          </w:p>
        </w:tc>
      </w:tr>
      <w:tr>
        <w:trPr/>
        <w:tc>
          <w:tcPr>
            <w:tcW w:w="63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B-737-800</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34</w:t>
            </w:r>
          </w:p>
        </w:tc>
        <w:tc>
          <w:tcPr>
            <w:tcW w:w="70" w:type="dxa"/>
            <w:tcBorders/>
            <w:shd w:fill="CCEEFF" w:val="clear"/>
            <w:vAlign w:val="bottom"/>
          </w:tcPr>
          <w:p>
            <w:pPr>
              <w:pStyle w:val="TableContents"/>
              <w:bidi w:val="0"/>
              <w:spacing w:before="0" w:after="283"/>
              <w:jc w:val="left"/>
              <w:rPr/>
            </w:pPr>
            <w:r>
              <w:rPr/>
              <w:t> </w:t>
            </w:r>
          </w:p>
        </w:tc>
      </w:tr>
      <w:tr>
        <w:trPr/>
        <w:tc>
          <w:tcPr>
            <w:tcW w:w="6326" w:type="dxa"/>
            <w:tcBorders/>
          </w:tcPr>
          <w:p>
            <w:pPr>
              <w:pStyle w:val="TableContents"/>
              <w:bidi w:val="0"/>
              <w:spacing w:before="0" w:after="0"/>
              <w:jc w:val="left"/>
              <w:rPr>
                <w:rFonts w:ascii="Times New Roman" w:hAnsi="Times New Roman"/>
                <w:b/>
                <w:sz w:val="20"/>
              </w:rPr>
            </w:pPr>
            <w:r>
              <w:rPr>
                <w:rFonts w:ascii="Times New Roman" w:hAnsi="Times New Roman"/>
                <w:b/>
                <w:sz w:val="20"/>
              </w:rPr>
              <w:t>B-737 MAX 8</w:t>
            </w:r>
          </w:p>
        </w:tc>
        <w:tc>
          <w:tcPr>
            <w:tcW w:w="15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47</w:t>
            </w:r>
          </w:p>
        </w:tc>
        <w:tc>
          <w:tcPr>
            <w:tcW w:w="70" w:type="dxa"/>
            <w:tcBorders/>
            <w:vAlign w:val="bottom"/>
          </w:tcPr>
          <w:p>
            <w:pPr>
              <w:pStyle w:val="TableContents"/>
              <w:bidi w:val="0"/>
              <w:spacing w:before="0" w:after="283"/>
              <w:jc w:val="left"/>
              <w:rPr/>
            </w:pPr>
            <w:r>
              <w:rPr/>
              <w:t> </w:t>
            </w:r>
          </w:p>
        </w:tc>
      </w:tr>
      <w:tr>
        <w:trPr/>
        <w:tc>
          <w:tcPr>
            <w:tcW w:w="63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B-737 MAX 9</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26</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30</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30</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30</w:t>
            </w:r>
          </w:p>
        </w:tc>
        <w:tc>
          <w:tcPr>
            <w:tcW w:w="70" w:type="dxa"/>
            <w:tcBorders/>
            <w:shd w:fill="CCEEFF" w:val="clear"/>
            <w:vAlign w:val="bottom"/>
          </w:tcPr>
          <w:p>
            <w:pPr>
              <w:pStyle w:val="TableContents"/>
              <w:bidi w:val="0"/>
              <w:spacing w:before="0" w:after="283"/>
              <w:jc w:val="left"/>
              <w:rPr/>
            </w:pPr>
            <w:r>
              <w:rPr/>
              <w:t> </w:t>
            </w:r>
          </w:p>
        </w:tc>
      </w:tr>
      <w:tr>
        <w:trPr/>
        <w:tc>
          <w:tcPr>
            <w:tcW w:w="6326" w:type="dxa"/>
            <w:tcBorders/>
          </w:tcPr>
          <w:p>
            <w:pPr>
              <w:pStyle w:val="TableContents"/>
              <w:bidi w:val="0"/>
              <w:spacing w:before="0" w:after="0"/>
              <w:jc w:val="left"/>
              <w:rPr>
                <w:rFonts w:ascii="Times New Roman" w:hAnsi="Times New Roman"/>
                <w:b/>
                <w:sz w:val="20"/>
              </w:rPr>
            </w:pPr>
            <w:r>
              <w:rPr>
                <w:rFonts w:ascii="Times New Roman" w:hAnsi="Times New Roman"/>
                <w:b/>
                <w:sz w:val="20"/>
              </w:rPr>
              <w:t>B-787-8</w:t>
            </w:r>
          </w:p>
        </w:tc>
        <w:tc>
          <w:tcPr>
            <w:tcW w:w="15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8</w:t>
            </w:r>
          </w:p>
        </w:tc>
        <w:tc>
          <w:tcPr>
            <w:tcW w:w="70" w:type="dxa"/>
            <w:tcBorders/>
            <w:vAlign w:val="bottom"/>
          </w:tcPr>
          <w:p>
            <w:pPr>
              <w:pStyle w:val="TableContents"/>
              <w:bidi w:val="0"/>
              <w:spacing w:before="0" w:after="283"/>
              <w:jc w:val="left"/>
              <w:rPr/>
            </w:pPr>
            <w:r>
              <w:rPr/>
              <w:t> </w:t>
            </w:r>
          </w:p>
        </w:tc>
      </w:tr>
      <w:tr>
        <w:trPr/>
        <w:tc>
          <w:tcPr>
            <w:tcW w:w="63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B-787-9</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16</w:t>
            </w:r>
          </w:p>
        </w:tc>
        <w:tc>
          <w:tcPr>
            <w:tcW w:w="70" w:type="dxa"/>
            <w:tcBorders/>
            <w:shd w:fill="CCEEFF" w:val="clear"/>
            <w:vAlign w:val="bottom"/>
          </w:tcPr>
          <w:p>
            <w:pPr>
              <w:pStyle w:val="TableContents"/>
              <w:bidi w:val="0"/>
              <w:spacing w:before="0" w:after="283"/>
              <w:jc w:val="left"/>
              <w:rPr/>
            </w:pPr>
            <w:r>
              <w:rPr/>
              <w:t> </w:t>
            </w:r>
          </w:p>
        </w:tc>
      </w:tr>
      <w:tr>
        <w:trPr/>
        <w:tc>
          <w:tcPr>
            <w:tcW w:w="6326" w:type="dxa"/>
            <w:tcBorders/>
          </w:tcPr>
          <w:p>
            <w:pPr>
              <w:pStyle w:val="TableContents"/>
              <w:bidi w:val="0"/>
              <w:spacing w:before="0" w:after="0"/>
              <w:jc w:val="left"/>
              <w:rPr>
                <w:rFonts w:ascii="Times New Roman" w:hAnsi="Times New Roman"/>
                <w:b/>
                <w:sz w:val="20"/>
              </w:rPr>
            </w:pPr>
            <w:r>
              <w:rPr>
                <w:rFonts w:ascii="Times New Roman" w:hAnsi="Times New Roman"/>
                <w:b/>
                <w:sz w:val="20"/>
              </w:rPr>
              <w:t>Aeroméxico</w:t>
            </w:r>
          </w:p>
        </w:tc>
        <w:tc>
          <w:tcPr>
            <w:tcW w:w="15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b/>
              </w:rPr>
            </w:pPr>
            <w:r>
              <w:rPr>
                <w:b/>
              </w:rPr>
              <w:t>124</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b/>
              </w:rPr>
            </w:pPr>
            <w:r>
              <w:rPr>
                <w:b/>
              </w:rPr>
              <w:t>128</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b/>
              </w:rPr>
            </w:pPr>
            <w:r>
              <w:rPr>
                <w:b/>
              </w:rPr>
              <w:t>131</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b/>
              </w:rPr>
            </w:pPr>
            <w:r>
              <w:rPr>
                <w:b/>
              </w:rPr>
              <w:t>132</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b/>
              </w:rPr>
            </w:pPr>
            <w:r>
              <w:rPr>
                <w:b/>
              </w:rPr>
              <w:t>135</w:t>
            </w:r>
          </w:p>
        </w:tc>
        <w:tc>
          <w:tcPr>
            <w:tcW w:w="70" w:type="dxa"/>
            <w:tcBorders/>
            <w:vAlign w:val="bottom"/>
          </w:tcPr>
          <w:p>
            <w:pPr>
              <w:pStyle w:val="TableContents"/>
              <w:bidi w:val="0"/>
              <w:spacing w:before="0" w:after="283"/>
              <w:jc w:val="left"/>
              <w:rPr/>
            </w:pPr>
            <w:r>
              <w:rPr/>
              <w:t> </w:t>
            </w:r>
          </w:p>
        </w:tc>
      </w:tr>
      <w:tr>
        <w:trPr/>
        <w:tc>
          <w:tcPr>
            <w:tcW w:w="63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E-190</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34</w:t>
            </w:r>
          </w:p>
        </w:tc>
        <w:tc>
          <w:tcPr>
            <w:tcW w:w="70" w:type="dxa"/>
            <w:tcBorders/>
            <w:shd w:fill="CCEEFF" w:val="clear"/>
            <w:vAlign w:val="bottom"/>
          </w:tcPr>
          <w:p>
            <w:pPr>
              <w:pStyle w:val="TableContents"/>
              <w:bidi w:val="0"/>
              <w:spacing w:before="0" w:after="283"/>
              <w:jc w:val="left"/>
              <w:rPr/>
            </w:pPr>
            <w:r>
              <w:rPr/>
              <w:t> </w:t>
            </w:r>
          </w:p>
        </w:tc>
      </w:tr>
      <w:tr>
        <w:trPr/>
        <w:tc>
          <w:tcPr>
            <w:tcW w:w="6326" w:type="dxa"/>
            <w:tcBorders/>
          </w:tcPr>
          <w:p>
            <w:pPr>
              <w:pStyle w:val="TableContents"/>
              <w:bidi w:val="0"/>
              <w:spacing w:before="0" w:after="0"/>
              <w:jc w:val="left"/>
              <w:rPr>
                <w:rFonts w:ascii="Times New Roman" w:hAnsi="Times New Roman"/>
                <w:b/>
                <w:sz w:val="20"/>
              </w:rPr>
            </w:pPr>
            <w:r>
              <w:rPr>
                <w:rFonts w:ascii="Times New Roman" w:hAnsi="Times New Roman"/>
                <w:b/>
                <w:sz w:val="20"/>
              </w:rPr>
              <w:t>Aeroméxico Connect</w:t>
            </w:r>
          </w:p>
        </w:tc>
        <w:tc>
          <w:tcPr>
            <w:tcW w:w="15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b/>
              </w:rPr>
            </w:pPr>
            <w:r>
              <w:rPr>
                <w:b/>
              </w:rPr>
              <w:t>34</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b/>
              </w:rPr>
            </w:pPr>
            <w:r>
              <w:rPr>
                <w:b/>
              </w:rPr>
              <w:t>34</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b/>
              </w:rPr>
            </w:pPr>
            <w:r>
              <w:rPr>
                <w:b/>
              </w:rPr>
              <w:t>34</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b/>
              </w:rPr>
            </w:pPr>
            <w:r>
              <w:rPr>
                <w:b/>
              </w:rPr>
              <w:t>34</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b/>
              </w:rPr>
            </w:pPr>
            <w:r>
              <w:rPr>
                <w:b/>
              </w:rPr>
              <w:t>34</w:t>
            </w:r>
          </w:p>
        </w:tc>
        <w:tc>
          <w:tcPr>
            <w:tcW w:w="70" w:type="dxa"/>
            <w:tcBorders/>
            <w:vAlign w:val="bottom"/>
          </w:tcPr>
          <w:p>
            <w:pPr>
              <w:pStyle w:val="TableContents"/>
              <w:bidi w:val="0"/>
              <w:spacing w:before="0" w:after="283"/>
              <w:jc w:val="left"/>
              <w:rPr/>
            </w:pPr>
            <w:r>
              <w:rPr/>
              <w:t> </w:t>
            </w:r>
          </w:p>
        </w:tc>
      </w:tr>
      <w:tr>
        <w:trPr/>
        <w:tc>
          <w:tcPr>
            <w:tcW w:w="63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Grupo Aeroméxico</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b/>
              </w:rPr>
            </w:pPr>
            <w:r>
              <w:rPr>
                <w:b/>
              </w:rPr>
              <w:t>158</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b/>
              </w:rPr>
            </w:pPr>
            <w:r>
              <w:rPr>
                <w:b/>
              </w:rPr>
              <w:t>162</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b/>
              </w:rPr>
            </w:pPr>
            <w:r>
              <w:rPr>
                <w:b/>
              </w:rPr>
              <w:t>165</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b/>
              </w:rPr>
            </w:pPr>
            <w:r>
              <w:rPr>
                <w:b/>
              </w:rPr>
              <w:t>166</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b/>
              </w:rPr>
            </w:pPr>
            <w:r>
              <w:rPr>
                <w:b/>
              </w:rPr>
              <w:t>169</w:t>
            </w:r>
          </w:p>
        </w:tc>
        <w:tc>
          <w:tcPr>
            <w:tcW w:w="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800475" cy="4406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800475" cy="44069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Footnotes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comparison excludes non-recurring items recognized during the year ended December 31, 2025, including $71.1 million of extraordinary income from the sale of the Group’s 50% equity interest in MRO (TechOps) and $4.3 million of non-capitalized administrative expenses related to the Company’s Initial Public Offering (IPO). Accordingly, the 2025 base has been adjusted to exclude these one-time items.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EBITDAR, Adjusted Net Debt to EBITDAR, and Adjusted EBITDAR Margin are non-IFRS measures and have limitations as analytical tools, and you should not consider them in isolation, or as a substitute for analysis of the Company’s results as reported under IFRS. See Annex A for the definition of Aeroméxico’s non-IFRS measures and a reconciliation to the nearest IFRS measure.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Liquidity is defined as cash and cash equivalents, and the revolving credit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Premium revenue mix consists of revenue from premium products and services above </w:t>
            </w:r>
            <w:r>
              <w:rPr>
                <w:rFonts w:ascii="Times New Roman" w:hAnsi="Times New Roman"/>
                <w:i/>
                <w:sz w:val="20"/>
              </w:rPr>
              <w:t>Basic</w:t>
            </w:r>
            <w:r>
              <w:rPr>
                <w:rFonts w:ascii="Times New Roman" w:hAnsi="Times New Roman"/>
                <w:sz w:val="20"/>
              </w:rPr>
              <w:t xml:space="preserve"> / </w:t>
            </w:r>
            <w:r>
              <w:rPr>
                <w:rFonts w:ascii="Times New Roman" w:hAnsi="Times New Roman"/>
                <w:i/>
                <w:sz w:val="20"/>
              </w:rPr>
              <w:t>Classic</w:t>
            </w:r>
            <w:r>
              <w:rPr>
                <w:rFonts w:ascii="Times New Roman" w:hAnsi="Times New Roman"/>
                <w:sz w:val="20"/>
              </w:rPr>
              <w:t xml:space="preserve"> coach cabin products. Ratio is calculated based on total passenger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Equivalent to 1.11 USD per liter in 2Q26 and 62¢ per liter in 2Q25.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2Q26 EARNINGS CALL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96"/>
        <w:gridCol w:w="120"/>
        <w:gridCol w:w="8789"/>
      </w:tblGrid>
      <w:tr>
        <w:trPr/>
        <w:tc>
          <w:tcPr>
            <w:tcW w:w="129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89" w:type="dxa"/>
            <w:tcBorders/>
            <w:vAlign w:val="center"/>
          </w:tcPr>
          <w:p>
            <w:pPr>
              <w:pStyle w:val="TableContents"/>
              <w:bidi w:val="0"/>
              <w:spacing w:before="0" w:after="283"/>
              <w:jc w:val="left"/>
              <w:rPr>
                <w:sz w:val="4"/>
                <w:szCs w:val="4"/>
              </w:rPr>
            </w:pPr>
            <w:r>
              <w:rPr>
                <w:sz w:val="4"/>
                <w:szCs w:val="4"/>
              </w:rPr>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Date</w:t>
            </w:r>
          </w:p>
        </w:tc>
        <w:tc>
          <w:tcPr>
            <w:tcW w:w="120" w:type="dxa"/>
            <w:tcBorders/>
            <w:vAlign w:val="bottom"/>
          </w:tcPr>
          <w:p>
            <w:pPr>
              <w:pStyle w:val="TableContents"/>
              <w:bidi w:val="0"/>
              <w:spacing w:before="0" w:after="283"/>
              <w:jc w:val="left"/>
              <w:rPr/>
            </w:pPr>
            <w:r>
              <w:rPr/>
              <w:t>  </w:t>
            </w:r>
          </w:p>
        </w:tc>
        <w:tc>
          <w:tcPr>
            <w:tcW w:w="8789" w:type="dxa"/>
            <w:tcBorders/>
          </w:tcPr>
          <w:p>
            <w:pPr>
              <w:pStyle w:val="TableContents"/>
              <w:bidi w:val="0"/>
              <w:spacing w:before="0" w:after="0"/>
              <w:jc w:val="left"/>
              <w:rPr>
                <w:rFonts w:ascii="Times New Roman" w:hAnsi="Times New Roman"/>
                <w:sz w:val="20"/>
              </w:rPr>
            </w:pPr>
            <w:r>
              <w:rPr>
                <w:rFonts w:ascii="Times New Roman" w:hAnsi="Times New Roman"/>
                <w:sz w:val="20"/>
              </w:rPr>
              <w:t>Tuesday, July 14, 2026</w:t>
            </w:r>
          </w:p>
        </w:tc>
      </w:tr>
      <w:tr>
        <w:trPr>
          <w:trHeight w:val="120" w:hRule="atLeast"/>
        </w:trPr>
        <w:tc>
          <w:tcPr>
            <w:tcW w:w="1296" w:type="dxa"/>
            <w:tcBorders/>
            <w:vAlign w:val="center"/>
          </w:tcPr>
          <w:p>
            <w:pPr>
              <w:pStyle w:val="TableContents"/>
              <w:bidi w:val="0"/>
              <w:spacing w:before="0" w:after="283"/>
              <w:jc w:val="left"/>
              <w:rPr>
                <w:sz w:val="4"/>
                <w:szCs w:val="4"/>
              </w:rPr>
            </w:pPr>
            <w:r>
              <w:rPr>
                <w:sz w:val="4"/>
                <w:szCs w:val="4"/>
              </w:rPr>
            </w:r>
          </w:p>
        </w:tc>
        <w:tc>
          <w:tcPr>
            <w:tcW w:w="8909" w:type="dxa"/>
            <w:gridSpan w:val="2"/>
            <w:tcBorders/>
            <w:vAlign w:val="center"/>
          </w:tcPr>
          <w:p>
            <w:pPr>
              <w:pStyle w:val="TableContents"/>
              <w:bidi w:val="0"/>
              <w:spacing w:before="0" w:after="283"/>
              <w:jc w:val="left"/>
              <w:rPr>
                <w:sz w:val="4"/>
                <w:szCs w:val="4"/>
              </w:rPr>
            </w:pPr>
            <w:r>
              <w:rPr>
                <w:sz w:val="4"/>
                <w:szCs w:val="4"/>
              </w:rPr>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Time</w:t>
            </w:r>
          </w:p>
        </w:tc>
        <w:tc>
          <w:tcPr>
            <w:tcW w:w="120"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11:00 a.m. ET (NY) / 9:00 a.m. CT (CDMX)</w:t>
            </w:r>
          </w:p>
        </w:tc>
      </w:tr>
      <w:tr>
        <w:trPr>
          <w:trHeight w:val="120" w:hRule="atLeast"/>
        </w:trPr>
        <w:tc>
          <w:tcPr>
            <w:tcW w:w="1296" w:type="dxa"/>
            <w:tcBorders/>
            <w:vAlign w:val="center"/>
          </w:tcPr>
          <w:p>
            <w:pPr>
              <w:pStyle w:val="TableContents"/>
              <w:bidi w:val="0"/>
              <w:spacing w:before="0" w:after="283"/>
              <w:jc w:val="left"/>
              <w:rPr>
                <w:sz w:val="4"/>
                <w:szCs w:val="4"/>
              </w:rPr>
            </w:pPr>
            <w:r>
              <w:rPr>
                <w:sz w:val="4"/>
                <w:szCs w:val="4"/>
              </w:rPr>
            </w:r>
          </w:p>
        </w:tc>
        <w:tc>
          <w:tcPr>
            <w:tcW w:w="8909" w:type="dxa"/>
            <w:gridSpan w:val="2"/>
            <w:tcBorders/>
            <w:vAlign w:val="center"/>
          </w:tcPr>
          <w:p>
            <w:pPr>
              <w:pStyle w:val="TableContents"/>
              <w:bidi w:val="0"/>
              <w:spacing w:before="0" w:after="283"/>
              <w:jc w:val="left"/>
              <w:rPr>
                <w:sz w:val="4"/>
                <w:szCs w:val="4"/>
              </w:rPr>
            </w:pPr>
            <w:r>
              <w:rPr>
                <w:sz w:val="4"/>
                <w:szCs w:val="4"/>
              </w:rPr>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Webcast Link</w:t>
            </w:r>
          </w:p>
        </w:tc>
        <w:tc>
          <w:tcPr>
            <w:tcW w:w="120"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0"/>
              <w:jc w:val="left"/>
              <w:rPr>
                <w:rFonts w:ascii="Times New Roman" w:hAnsi="Times New Roman"/>
                <w:i/>
                <w:sz w:val="20"/>
                <w:u w:val="single"/>
              </w:rPr>
            </w:pPr>
            <w:r>
              <w:rPr>
                <w:rFonts w:ascii="Times New Roman" w:hAnsi="Times New Roman"/>
                <w:i/>
                <w:sz w:val="20"/>
                <w:u w:val="single"/>
              </w:rPr>
              <w:t>https://edge.media-server.com/mmc/p/jid2bv5a/</w:t>
            </w:r>
          </w:p>
        </w:tc>
      </w:tr>
      <w:tr>
        <w:trPr>
          <w:trHeight w:val="120" w:hRule="atLeast"/>
        </w:trPr>
        <w:tc>
          <w:tcPr>
            <w:tcW w:w="1296" w:type="dxa"/>
            <w:tcBorders/>
            <w:vAlign w:val="center"/>
          </w:tcPr>
          <w:p>
            <w:pPr>
              <w:pStyle w:val="TableContents"/>
              <w:bidi w:val="0"/>
              <w:spacing w:before="0" w:after="283"/>
              <w:jc w:val="left"/>
              <w:rPr>
                <w:sz w:val="4"/>
                <w:szCs w:val="4"/>
              </w:rPr>
            </w:pPr>
            <w:r>
              <w:rPr>
                <w:sz w:val="4"/>
                <w:szCs w:val="4"/>
              </w:rPr>
            </w:r>
          </w:p>
        </w:tc>
        <w:tc>
          <w:tcPr>
            <w:tcW w:w="8909" w:type="dxa"/>
            <w:gridSpan w:val="2"/>
            <w:tcBorders/>
            <w:vAlign w:val="center"/>
          </w:tcPr>
          <w:p>
            <w:pPr>
              <w:pStyle w:val="TableContents"/>
              <w:bidi w:val="0"/>
              <w:spacing w:before="0" w:after="283"/>
              <w:jc w:val="left"/>
              <w:rPr>
                <w:sz w:val="4"/>
                <w:szCs w:val="4"/>
              </w:rPr>
            </w:pPr>
            <w:r>
              <w:rPr>
                <w:sz w:val="4"/>
                <w:szCs w:val="4"/>
              </w:rPr>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Participant Listening*</w:t>
            </w:r>
          </w:p>
        </w:tc>
        <w:tc>
          <w:tcPr>
            <w:tcW w:w="120"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i/>
                <w:u w:val="single"/>
              </w:rPr>
            </w:pPr>
            <w:r>
              <w:rPr>
                <w:i/>
                <w:u w:val="single"/>
              </w:rPr>
              <w:t>https://register-conf.media- server.com/register/BI4d74077fbc8248da9af220714255acdd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18"/>
        <w:gridCol w:w="8887"/>
      </w:tblGrid>
      <w:tr>
        <w:trPr/>
        <w:tc>
          <w:tcPr>
            <w:tcW w:w="1318" w:type="dxa"/>
            <w:tcBorders/>
          </w:tcPr>
          <w:p>
            <w:pPr>
              <w:pStyle w:val="TableContents"/>
              <w:bidi w:val="0"/>
              <w:spacing w:before="0" w:after="283"/>
              <w:jc w:val="left"/>
              <w:rPr>
                <w:i/>
              </w:rPr>
            </w:pPr>
            <w:r>
              <w:rPr>
                <w:i/>
              </w:rPr>
              <w:t>*Participants</w:t>
            </w:r>
          </w:p>
        </w:tc>
        <w:tc>
          <w:tcPr>
            <w:tcW w:w="8887"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can complete the online registration form and upon registering will receive the dial-in info and a unique PIN to join the call.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About Grupo Aeroméxico </w:t>
      </w:r>
    </w:p>
    <w:p>
      <w:pPr>
        <w:pStyle w:val="TextBody"/>
        <w:bidi w:val="0"/>
        <w:spacing w:before="120" w:after="0"/>
        <w:jc w:val="left"/>
        <w:rPr>
          <w:rFonts w:ascii="Times New Roman" w:hAnsi="Times New Roman"/>
          <w:i/>
          <w:sz w:val="20"/>
        </w:rPr>
      </w:pPr>
      <w:r>
        <w:rPr>
          <w:rFonts w:ascii="Times New Roman" w:hAnsi="Times New Roman"/>
          <w:i/>
          <w:sz w:val="20"/>
        </w:rPr>
        <w:t xml:space="preserve">Grupo Aeroméxico, S.A.B. de C.V. is a holding company whose subsidiaries are engaged in commercial aviation in Mexico and the promotion of passenger loyalty programs. Aeroméxico, Mexico’s global airline, has its main operations center in Terminal 2 of the Mexico City International Airport. Its destination network has reach in Mexico, the United States, Canada, Central America, South America, Asia and Europe. The Group’s current operating fleet includes Boeing 787 and 737 aircraft, as well as the latest generation Embraer 190. Aeroméxico is a founding partner of SkyTeam, an alliance that celebrates 20 years and offers connectivity in more than 170 countries, through the 18 partner airlines. Aeroméxico created and implemented a Health and Hygiene Management System (SGSH) to protect its clients and collaborators at all stages of its operation. </w:t>
      </w:r>
    </w:p>
    <w:p>
      <w:pPr>
        <w:pStyle w:val="TextBody"/>
        <w:bidi w:val="0"/>
        <w:spacing w:before="0" w:after="0"/>
        <w:jc w:val="left"/>
        <w:rPr>
          <w:rFonts w:ascii="Times New Roman" w:hAnsi="Times New Roman"/>
          <w:sz w:val="20"/>
        </w:rPr>
      </w:pPr>
      <w:r>
        <w:rPr>
          <w:rFonts w:ascii="Times New Roman" w:hAnsi="Times New Roman"/>
          <w:i/>
          <w:sz w:val="20"/>
          <w:u w:val="single"/>
        </w:rPr>
        <w:t>www.aeromexico.com</w:t>
      </w:r>
      <w:r>
        <w:rPr>
          <w:rFonts w:ascii="Times New Roman" w:hAnsi="Times New Roman"/>
          <w:sz w:val="20"/>
        </w:rPr>
        <w:t xml:space="preserve"> / </w:t>
      </w:r>
      <w:r>
        <w:rPr>
          <w:rFonts w:ascii="Times New Roman" w:hAnsi="Times New Roman"/>
          <w:i/>
          <w:sz w:val="20"/>
          <w:u w:val="single"/>
        </w:rPr>
        <w:t>www.skyteam.com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800475" cy="4406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800475" cy="44069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Forward 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press release contains certain forward-looking statements, within the meaning of the Private Securities Litigation Reform Act, that reflect the current views and/or expectations of the Company and its management with respect to its performance, business and future events. We use words such as “believe,” “anticipate,” “plan,” “expect,”, “intend,” “target,” “estimate,” “project,” “predict,” “guidance,” “forecast,” “guideline,” “should” and other similar expressions to identify forward-looking statements, but they are not the only way we identify such statements. Such statements are subject to a number of risks, uncertainties and assumptions. We caution you that a number of important factors could cause actual results to differ materially from the plans, objectives, expectations, estimates and intentions expressed in this release. Important factors that could cause such differences include, but are not limited to: external risks, including health threats, accidents, global instability, security breaches, terrorism and natural disasters; global geopolitical conflicts, particularly those that impact the price of jet fuel; Mexican and international economic conditions, as well as seasonality, on customer travel behavior; the current U.S.’s administration tariffs on the Company’s costs and the actions of other governmental authorities in Mexico, the U.S. and other countries; fuel market volatility; the Company’s capacity to fulfill the Company’s fixed obligations, obtain financing and/or maintain liquidity; the Company’s capacity to retain and attract key personnel and other professionals, and the Company’s labor relations with employees; the Company’s reliance on few aircraft manufacturers and other third-party providers; the Company’s aircraft utilization rate and aircraft maintenance costs; changes in landing charges, airport access fees and inadequate airport infrastructure; consumer protection restrictions; dependence on the Company’s main hub, MEX; air traffic congestion; the competitive environment in the aviation industry, including those arising from non-air travel substitutes; sanctions and compliance with anti-corruption, anti-money laundering, anti-drug trafficking and other ethical rules and standards; reliance on partnerships and alliances and challenges in entering into new ones; and other factors described in “Risk Factors” of the Company’s annual report on Form 20-F filed with the SEC on April 30,2026. Forward-looking statements are based on information available at the time those statements are made and/or management’s good faith belief as of that time with respect to future events. The Company is under no obligation and expressly disclaims any intention or obligation to update or revise any forward-looking statements, whether as a result of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943350" cy="457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943350" cy="457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Grupo Aeroméxico, S.A.B. de C.V.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Profit or Loss and other Comprehensive Income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07"/>
        <w:gridCol w:w="148"/>
        <w:gridCol w:w="60"/>
        <w:gridCol w:w="586"/>
        <w:gridCol w:w="155"/>
        <w:gridCol w:w="94"/>
        <w:gridCol w:w="60"/>
        <w:gridCol w:w="586"/>
        <w:gridCol w:w="155"/>
        <w:gridCol w:w="94"/>
        <w:gridCol w:w="81"/>
        <w:gridCol w:w="756"/>
        <w:gridCol w:w="396"/>
        <w:gridCol w:w="94"/>
        <w:gridCol w:w="60"/>
        <w:gridCol w:w="585"/>
        <w:gridCol w:w="155"/>
        <w:gridCol w:w="94"/>
        <w:gridCol w:w="60"/>
        <w:gridCol w:w="586"/>
        <w:gridCol w:w="155"/>
        <w:gridCol w:w="94"/>
        <w:gridCol w:w="81"/>
        <w:gridCol w:w="756"/>
        <w:gridCol w:w="407"/>
      </w:tblGrid>
      <w:tr>
        <w:trPr/>
        <w:tc>
          <w:tcPr>
            <w:tcW w:w="3907"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390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62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39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262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407" w:type="dxa"/>
            <w:tcBorders/>
            <w:vAlign w:val="bottom"/>
          </w:tcPr>
          <w:p>
            <w:pPr>
              <w:pStyle w:val="TableContents"/>
              <w:bidi w:val="0"/>
              <w:spacing w:before="0" w:after="283"/>
              <w:jc w:val="left"/>
              <w:rPr/>
            </w:pPr>
            <w:r>
              <w:rPr/>
              <w:t> </w:t>
            </w:r>
          </w:p>
        </w:tc>
      </w:tr>
      <w:tr>
        <w:trPr/>
        <w:tc>
          <w:tcPr>
            <w:tcW w:w="390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39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407" w:type="dxa"/>
            <w:tcBorders/>
            <w:vAlign w:val="bottom"/>
          </w:tcPr>
          <w:p>
            <w:pPr>
              <w:pStyle w:val="TableContents"/>
              <w:bidi w:val="0"/>
              <w:spacing w:before="0" w:after="283"/>
              <w:jc w:val="left"/>
              <w:rPr/>
            </w:pPr>
            <w:r>
              <w:rPr/>
              <w:t> </w:t>
            </w:r>
          </w:p>
        </w:tc>
      </w:tr>
      <w:tr>
        <w:trPr/>
        <w:tc>
          <w:tcPr>
            <w:tcW w:w="39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756" w:type="dxa"/>
            <w:tcBorders/>
            <w:shd w:fill="CCEEFF" w:val="clear"/>
            <w:vAlign w:val="bottom"/>
          </w:tcPr>
          <w:p>
            <w:pPr>
              <w:pStyle w:val="TableContents"/>
              <w:bidi w:val="0"/>
              <w:spacing w:before="0" w:after="283"/>
              <w:jc w:val="left"/>
              <w:rPr>
                <w:sz w:val="4"/>
                <w:szCs w:val="4"/>
              </w:rPr>
            </w:pPr>
            <w:r>
              <w:rPr>
                <w:sz w:val="4"/>
                <w:szCs w:val="4"/>
              </w:rPr>
            </w:r>
          </w:p>
        </w:tc>
        <w:tc>
          <w:tcPr>
            <w:tcW w:w="396"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756" w:type="dxa"/>
            <w:tcBorders/>
            <w:shd w:fill="CCEEFF" w:val="clear"/>
            <w:vAlign w:val="bottom"/>
          </w:tcPr>
          <w:p>
            <w:pPr>
              <w:pStyle w:val="TableContents"/>
              <w:bidi w:val="0"/>
              <w:spacing w:before="0" w:after="283"/>
              <w:jc w:val="left"/>
              <w:rPr>
                <w:sz w:val="4"/>
                <w:szCs w:val="4"/>
              </w:rPr>
            </w:pPr>
            <w:r>
              <w:rPr>
                <w:sz w:val="4"/>
                <w:szCs w:val="4"/>
              </w:rPr>
            </w:r>
          </w:p>
        </w:tc>
        <w:tc>
          <w:tcPr>
            <w:tcW w:w="407" w:type="dxa"/>
            <w:tcBorders/>
            <w:shd w:fill="CCEEFF" w:val="clear"/>
            <w:vAlign w:val="bottom"/>
          </w:tcPr>
          <w:p>
            <w:pPr>
              <w:pStyle w:val="TableContents"/>
              <w:bidi w:val="0"/>
              <w:spacing w:before="0" w:after="283"/>
              <w:jc w:val="left"/>
              <w:rPr>
                <w:sz w:val="4"/>
                <w:szCs w:val="4"/>
              </w:rPr>
            </w:pPr>
            <w:r>
              <w:rPr>
                <w:sz w:val="4"/>
                <w:szCs w:val="4"/>
              </w:rPr>
            </w:r>
          </w:p>
        </w:tc>
      </w:tr>
      <w:tr>
        <w:trPr/>
        <w:tc>
          <w:tcPr>
            <w:tcW w:w="3907" w:type="dxa"/>
            <w:tcBorders/>
          </w:tcPr>
          <w:p>
            <w:pPr>
              <w:pStyle w:val="TableContents"/>
              <w:bidi w:val="0"/>
              <w:spacing w:before="0" w:after="0"/>
              <w:jc w:val="left"/>
              <w:rPr>
                <w:rFonts w:ascii="Times New Roman" w:hAnsi="Times New Roman"/>
                <w:sz w:val="20"/>
              </w:rPr>
            </w:pPr>
            <w:r>
              <w:rPr>
                <w:rFonts w:ascii="Times New Roman" w:hAnsi="Times New Roman"/>
                <w:sz w:val="20"/>
              </w:rPr>
              <w:t>Passenger</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1,309</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1,186</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10.4</w:t>
            </w:r>
          </w:p>
        </w:tc>
        <w:tc>
          <w:tcPr>
            <w:tcW w:w="39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2,521</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2,258</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11.6</w:t>
            </w:r>
          </w:p>
        </w:tc>
        <w:tc>
          <w:tcPr>
            <w:tcW w:w="407" w:type="dxa"/>
            <w:tcBorders/>
            <w:vAlign w:val="bottom"/>
          </w:tcPr>
          <w:p>
            <w:pPr>
              <w:pStyle w:val="TableContents"/>
              <w:bidi w:val="0"/>
              <w:spacing w:before="0" w:after="283"/>
              <w:jc w:val="left"/>
              <w:rPr/>
            </w:pPr>
            <w:r>
              <w:rPr/>
              <w:t>% </w:t>
            </w:r>
          </w:p>
        </w:tc>
      </w:tr>
      <w:tr>
        <w:trPr/>
        <w:tc>
          <w:tcPr>
            <w:tcW w:w="3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Air cargo</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86</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5.4</w:t>
            </w:r>
          </w:p>
        </w:tc>
        <w:tc>
          <w:tcPr>
            <w:tcW w:w="39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162</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152</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6.5</w:t>
            </w:r>
          </w:p>
        </w:tc>
        <w:tc>
          <w:tcPr>
            <w:tcW w:w="407" w:type="dxa"/>
            <w:tcBorders/>
            <w:shd w:fill="CCEEFF" w:val="clear"/>
            <w:vAlign w:val="bottom"/>
          </w:tcPr>
          <w:p>
            <w:pPr>
              <w:pStyle w:val="TableContents"/>
              <w:bidi w:val="0"/>
              <w:spacing w:before="0" w:after="283"/>
              <w:jc w:val="left"/>
              <w:rPr/>
            </w:pPr>
            <w:r>
              <w:rPr/>
              <w:t>% </w:t>
            </w:r>
          </w:p>
        </w:tc>
      </w:tr>
      <w:tr>
        <w:trPr/>
        <w:tc>
          <w:tcPr>
            <w:tcW w:w="3907"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84</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83.0</w:t>
            </w:r>
          </w:p>
        </w:tc>
        <w:tc>
          <w:tcPr>
            <w:tcW w:w="39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137</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87</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57.5</w:t>
            </w:r>
          </w:p>
        </w:tc>
        <w:tc>
          <w:tcPr>
            <w:tcW w:w="407" w:type="dxa"/>
            <w:tcBorders/>
            <w:vAlign w:val="bottom"/>
          </w:tcPr>
          <w:p>
            <w:pPr>
              <w:pStyle w:val="TableContents"/>
              <w:bidi w:val="0"/>
              <w:spacing w:before="0" w:after="283"/>
              <w:jc w:val="left"/>
              <w:rPr/>
            </w:pPr>
            <w:r>
              <w:rPr/>
              <w:t>% </w:t>
            </w:r>
          </w:p>
        </w:tc>
      </w:tr>
      <w:tr>
        <w:trPr/>
        <w:tc>
          <w:tcPr>
            <w:tcW w:w="390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1,479</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1,314</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b/>
              </w:rPr>
            </w:pPr>
            <w:r>
              <w:rPr>
                <w:b/>
              </w:rPr>
              <w:t>12.6</w:t>
            </w:r>
          </w:p>
        </w:tc>
        <w:tc>
          <w:tcPr>
            <w:tcW w:w="396"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b/>
              </w:rPr>
            </w:pPr>
            <w:r>
              <w:rPr>
                <w:b/>
              </w:rPr>
              <w:t>2,821</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2,498</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b/>
              </w:rPr>
            </w:pPr>
            <w:r>
              <w:rPr>
                <w:b/>
              </w:rPr>
              <w:t>12.9</w:t>
            </w:r>
          </w:p>
        </w:tc>
        <w:tc>
          <w:tcPr>
            <w:tcW w:w="407" w:type="dxa"/>
            <w:tcBorders/>
            <w:shd w:fill="CCEEFF" w:val="clear"/>
            <w:vAlign w:val="bottom"/>
          </w:tcPr>
          <w:p>
            <w:pPr>
              <w:pStyle w:val="TableContents"/>
              <w:bidi w:val="0"/>
              <w:spacing w:before="0" w:after="283"/>
              <w:jc w:val="left"/>
              <w:rPr>
                <w:b/>
              </w:rPr>
            </w:pPr>
            <w:r>
              <w:rPr>
                <w:b/>
              </w:rPr>
              <w:t>% </w:t>
            </w:r>
          </w:p>
        </w:tc>
      </w:tr>
      <w:tr>
        <w:trPr/>
        <w:tc>
          <w:tcPr>
            <w:tcW w:w="3907"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756"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756"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r>
      <w:tr>
        <w:trPr/>
        <w:tc>
          <w:tcPr>
            <w:tcW w:w="3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Jet-fuel</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494</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274</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79.9</w:t>
            </w:r>
          </w:p>
        </w:tc>
        <w:tc>
          <w:tcPr>
            <w:tcW w:w="39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809</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560</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44.3</w:t>
            </w:r>
          </w:p>
        </w:tc>
        <w:tc>
          <w:tcPr>
            <w:tcW w:w="407" w:type="dxa"/>
            <w:tcBorders/>
            <w:shd w:fill="CCEEFF" w:val="clear"/>
            <w:vAlign w:val="bottom"/>
          </w:tcPr>
          <w:p>
            <w:pPr>
              <w:pStyle w:val="TableContents"/>
              <w:bidi w:val="0"/>
              <w:spacing w:before="0" w:after="283"/>
              <w:jc w:val="left"/>
              <w:rPr/>
            </w:pPr>
            <w:r>
              <w:rPr/>
              <w:t>% </w:t>
            </w:r>
          </w:p>
        </w:tc>
      </w:tr>
      <w:tr>
        <w:trPr/>
        <w:tc>
          <w:tcPr>
            <w:tcW w:w="3907" w:type="dxa"/>
            <w:tcBorders/>
          </w:tcPr>
          <w:p>
            <w:pPr>
              <w:pStyle w:val="TableContents"/>
              <w:bidi w:val="0"/>
              <w:spacing w:before="0" w:after="0"/>
              <w:jc w:val="left"/>
              <w:rPr>
                <w:rFonts w:ascii="Times New Roman" w:hAnsi="Times New Roman"/>
                <w:sz w:val="20"/>
              </w:rPr>
            </w:pPr>
            <w:r>
              <w:rPr>
                <w:rFonts w:ascii="Times New Roman" w:hAnsi="Times New Roman"/>
                <w:sz w:val="20"/>
              </w:rPr>
              <w:t>Wages, salaries and benefits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316</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278</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13.8</w:t>
            </w:r>
          </w:p>
        </w:tc>
        <w:tc>
          <w:tcPr>
            <w:tcW w:w="39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624</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529</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17.9</w:t>
            </w:r>
          </w:p>
        </w:tc>
        <w:tc>
          <w:tcPr>
            <w:tcW w:w="407" w:type="dxa"/>
            <w:tcBorders/>
            <w:vAlign w:val="bottom"/>
          </w:tcPr>
          <w:p>
            <w:pPr>
              <w:pStyle w:val="TableContents"/>
              <w:bidi w:val="0"/>
              <w:spacing w:before="0" w:after="283"/>
              <w:jc w:val="left"/>
              <w:rPr/>
            </w:pPr>
            <w:r>
              <w:rPr/>
              <w:t>% </w:t>
            </w:r>
          </w:p>
        </w:tc>
      </w:tr>
      <w:tr>
        <w:trPr/>
        <w:tc>
          <w:tcPr>
            <w:tcW w:w="3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Maintenance</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78</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55.1</w:t>
            </w:r>
          </w:p>
        </w:tc>
        <w:tc>
          <w:tcPr>
            <w:tcW w:w="39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146</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104</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41.5</w:t>
            </w:r>
          </w:p>
        </w:tc>
        <w:tc>
          <w:tcPr>
            <w:tcW w:w="407" w:type="dxa"/>
            <w:tcBorders/>
            <w:shd w:fill="CCEEFF" w:val="clear"/>
            <w:vAlign w:val="bottom"/>
          </w:tcPr>
          <w:p>
            <w:pPr>
              <w:pStyle w:val="TableContents"/>
              <w:bidi w:val="0"/>
              <w:spacing w:before="0" w:after="283"/>
              <w:jc w:val="left"/>
              <w:rPr/>
            </w:pPr>
            <w:r>
              <w:rPr/>
              <w:t>% </w:t>
            </w:r>
          </w:p>
        </w:tc>
      </w:tr>
      <w:tr>
        <w:trPr/>
        <w:tc>
          <w:tcPr>
            <w:tcW w:w="3907" w:type="dxa"/>
            <w:tcBorders/>
          </w:tcPr>
          <w:p>
            <w:pPr>
              <w:pStyle w:val="TableContents"/>
              <w:bidi w:val="0"/>
              <w:spacing w:before="0" w:after="0"/>
              <w:jc w:val="left"/>
              <w:rPr>
                <w:rFonts w:ascii="Times New Roman" w:hAnsi="Times New Roman"/>
                <w:sz w:val="20"/>
              </w:rPr>
            </w:pPr>
            <w:r>
              <w:rPr>
                <w:rFonts w:ascii="Times New Roman" w:hAnsi="Times New Roman"/>
                <w:sz w:val="20"/>
              </w:rPr>
              <w:t>Aircraft, communications and traffic services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171</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148</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15.5</w:t>
            </w:r>
          </w:p>
        </w:tc>
        <w:tc>
          <w:tcPr>
            <w:tcW w:w="39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326</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284</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14.6</w:t>
            </w:r>
          </w:p>
        </w:tc>
        <w:tc>
          <w:tcPr>
            <w:tcW w:w="407" w:type="dxa"/>
            <w:tcBorders/>
            <w:vAlign w:val="bottom"/>
          </w:tcPr>
          <w:p>
            <w:pPr>
              <w:pStyle w:val="TableContents"/>
              <w:bidi w:val="0"/>
              <w:spacing w:before="0" w:after="283"/>
              <w:jc w:val="left"/>
              <w:rPr/>
            </w:pPr>
            <w:r>
              <w:rPr/>
              <w:t>% </w:t>
            </w:r>
          </w:p>
        </w:tc>
      </w:tr>
      <w:tr>
        <w:trPr/>
        <w:tc>
          <w:tcPr>
            <w:tcW w:w="3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Passenger services</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10.0</w:t>
            </w:r>
          </w:p>
        </w:tc>
        <w:tc>
          <w:tcPr>
            <w:tcW w:w="39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71</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14.9</w:t>
            </w:r>
          </w:p>
        </w:tc>
        <w:tc>
          <w:tcPr>
            <w:tcW w:w="407" w:type="dxa"/>
            <w:tcBorders/>
            <w:shd w:fill="CCEEFF" w:val="clear"/>
            <w:vAlign w:val="bottom"/>
          </w:tcPr>
          <w:p>
            <w:pPr>
              <w:pStyle w:val="TableContents"/>
              <w:bidi w:val="0"/>
              <w:spacing w:before="0" w:after="283"/>
              <w:jc w:val="left"/>
              <w:rPr/>
            </w:pPr>
            <w:r>
              <w:rPr/>
              <w:t>% </w:t>
            </w:r>
          </w:p>
        </w:tc>
      </w:tr>
      <w:tr>
        <w:trPr/>
        <w:tc>
          <w:tcPr>
            <w:tcW w:w="3907" w:type="dxa"/>
            <w:tcBorders/>
          </w:tcPr>
          <w:p>
            <w:pPr>
              <w:pStyle w:val="TableContents"/>
              <w:bidi w:val="0"/>
              <w:spacing w:before="0" w:after="0"/>
              <w:jc w:val="left"/>
              <w:rPr>
                <w:rFonts w:ascii="Times New Roman" w:hAnsi="Times New Roman"/>
                <w:sz w:val="20"/>
              </w:rPr>
            </w:pPr>
            <w:r>
              <w:rPr>
                <w:rFonts w:ascii="Times New Roman" w:hAnsi="Times New Roman"/>
                <w:sz w:val="20"/>
              </w:rPr>
              <w:t>Travel agent commissions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22.5</w:t>
            </w:r>
          </w:p>
        </w:tc>
        <w:tc>
          <w:tcPr>
            <w:tcW w:w="39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50</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15.8</w:t>
            </w:r>
          </w:p>
        </w:tc>
        <w:tc>
          <w:tcPr>
            <w:tcW w:w="407" w:type="dxa"/>
            <w:tcBorders/>
            <w:vAlign w:val="bottom"/>
          </w:tcPr>
          <w:p>
            <w:pPr>
              <w:pStyle w:val="TableContents"/>
              <w:bidi w:val="0"/>
              <w:spacing w:before="0" w:after="283"/>
              <w:jc w:val="left"/>
              <w:rPr/>
            </w:pPr>
            <w:r>
              <w:rPr/>
              <w:t>% </w:t>
            </w:r>
          </w:p>
        </w:tc>
      </w:tr>
      <w:tr>
        <w:trPr/>
        <w:tc>
          <w:tcPr>
            <w:tcW w:w="3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and administrative</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92</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86</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6.5</w:t>
            </w:r>
          </w:p>
        </w:tc>
        <w:tc>
          <w:tcPr>
            <w:tcW w:w="39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180</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165</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8.6</w:t>
            </w:r>
          </w:p>
        </w:tc>
        <w:tc>
          <w:tcPr>
            <w:tcW w:w="407" w:type="dxa"/>
            <w:tcBorders/>
            <w:shd w:fill="CCEEFF" w:val="clear"/>
            <w:vAlign w:val="bottom"/>
          </w:tcPr>
          <w:p>
            <w:pPr>
              <w:pStyle w:val="TableContents"/>
              <w:bidi w:val="0"/>
              <w:spacing w:before="0" w:after="283"/>
              <w:jc w:val="left"/>
              <w:rPr/>
            </w:pPr>
            <w:r>
              <w:rPr/>
              <w:t>% </w:t>
            </w:r>
          </w:p>
        </w:tc>
      </w:tr>
      <w:tr>
        <w:trPr/>
        <w:tc>
          <w:tcPr>
            <w:tcW w:w="3907" w:type="dxa"/>
            <w:tcBorders/>
          </w:tcPr>
          <w:p>
            <w:pPr>
              <w:pStyle w:val="TableContents"/>
              <w:bidi w:val="0"/>
              <w:spacing w:before="0" w:after="0"/>
              <w:jc w:val="left"/>
              <w:rPr>
                <w:rFonts w:ascii="Times New Roman" w:hAnsi="Times New Roman"/>
                <w:sz w:val="20"/>
              </w:rPr>
            </w:pPr>
            <w:r>
              <w:rPr>
                <w:rFonts w:ascii="Times New Roman" w:hAnsi="Times New Roman"/>
                <w:sz w:val="20"/>
              </w:rPr>
              <w:t>Aircraft leasing</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17.7</w:t>
            </w:r>
          </w:p>
        </w:tc>
        <w:tc>
          <w:tcPr>
            <w:tcW w:w="39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0.9</w:t>
            </w:r>
          </w:p>
        </w:tc>
        <w:tc>
          <w:tcPr>
            <w:tcW w:w="407" w:type="dxa"/>
            <w:tcBorders/>
            <w:vAlign w:val="bottom"/>
          </w:tcPr>
          <w:p>
            <w:pPr>
              <w:pStyle w:val="TableContents"/>
              <w:bidi w:val="0"/>
              <w:spacing w:before="0" w:after="283"/>
              <w:jc w:val="left"/>
              <w:rPr/>
            </w:pPr>
            <w:r>
              <w:rPr/>
              <w:t>% </w:t>
            </w:r>
          </w:p>
        </w:tc>
      </w:tr>
      <w:tr>
        <w:trPr/>
        <w:tc>
          <w:tcPr>
            <w:tcW w:w="3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193</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180</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7.2</w:t>
            </w:r>
          </w:p>
        </w:tc>
        <w:tc>
          <w:tcPr>
            <w:tcW w:w="39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382</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353</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8.4</w:t>
            </w:r>
          </w:p>
        </w:tc>
        <w:tc>
          <w:tcPr>
            <w:tcW w:w="407" w:type="dxa"/>
            <w:tcBorders/>
            <w:shd w:fill="CCEEFF" w:val="clear"/>
            <w:vAlign w:val="bottom"/>
          </w:tcPr>
          <w:p>
            <w:pPr>
              <w:pStyle w:val="TableContents"/>
              <w:bidi w:val="0"/>
              <w:spacing w:before="0" w:after="283"/>
              <w:jc w:val="left"/>
              <w:rPr/>
            </w:pPr>
            <w:r>
              <w:rPr/>
              <w:t>% </w:t>
            </w:r>
          </w:p>
        </w:tc>
      </w:tr>
      <w:tr>
        <w:trPr/>
        <w:tc>
          <w:tcPr>
            <w:tcW w:w="3907" w:type="dxa"/>
            <w:tcBorders/>
          </w:tcPr>
          <w:p>
            <w:pPr>
              <w:pStyle w:val="TableContents"/>
              <w:bidi w:val="0"/>
              <w:spacing w:before="0" w:after="0"/>
              <w:jc w:val="left"/>
              <w:rPr>
                <w:rFonts w:ascii="Times New Roman" w:hAnsi="Times New Roman"/>
                <w:sz w:val="20"/>
              </w:rPr>
            </w:pPr>
            <w:r>
              <w:rPr>
                <w:rFonts w:ascii="Times New Roman" w:hAnsi="Times New Roman"/>
                <w:sz w:val="20"/>
              </w:rPr>
              <w:t>Impairment (reversal)</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39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407" w:type="dxa"/>
            <w:tcBorders/>
            <w:vAlign w:val="bottom"/>
          </w:tcPr>
          <w:p>
            <w:pPr>
              <w:pStyle w:val="TableContents"/>
              <w:bidi w:val="0"/>
              <w:spacing w:before="0" w:after="283"/>
              <w:jc w:val="left"/>
              <w:rPr/>
            </w:pPr>
            <w:r>
              <w:rPr/>
              <w:t> </w:t>
            </w:r>
          </w:p>
        </w:tc>
      </w:tr>
      <w:tr>
        <w:trPr/>
        <w:tc>
          <w:tcPr>
            <w:tcW w:w="3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loss, net</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39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(67.5</w:t>
            </w:r>
          </w:p>
        </w:tc>
        <w:tc>
          <w:tcPr>
            <w:tcW w:w="407" w:type="dxa"/>
            <w:tcBorders/>
            <w:shd w:fill="CCEEFF" w:val="clear"/>
            <w:vAlign w:val="bottom"/>
          </w:tcPr>
          <w:p>
            <w:pPr>
              <w:pStyle w:val="TableContents"/>
              <w:bidi w:val="0"/>
              <w:spacing w:before="0" w:after="283"/>
              <w:jc w:val="left"/>
              <w:rPr/>
            </w:pPr>
            <w:r>
              <w:rPr/>
              <w:t>%) </w:t>
            </w:r>
          </w:p>
        </w:tc>
      </w:tr>
      <w:tr>
        <w:trPr/>
        <w:tc>
          <w:tcPr>
            <w:tcW w:w="3907" w:type="dxa"/>
            <w:tcBorders/>
          </w:tcPr>
          <w:p>
            <w:pPr>
              <w:pStyle w:val="TableContents"/>
              <w:bidi w:val="0"/>
              <w:spacing w:before="0" w:after="0"/>
              <w:jc w:val="left"/>
              <w:rPr>
                <w:rFonts w:ascii="Times New Roman" w:hAnsi="Times New Roman"/>
                <w:sz w:val="20"/>
              </w:rPr>
            </w:pPr>
            <w:r>
              <w:rPr>
                <w:rFonts w:ascii="Times New Roman" w:hAnsi="Times New Roman"/>
                <w:sz w:val="20"/>
              </w:rPr>
              <w:t>Share of gain on equity accounted investees, net of tax</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39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407" w:type="dxa"/>
            <w:tcBorders/>
            <w:vAlign w:val="bottom"/>
          </w:tcPr>
          <w:p>
            <w:pPr>
              <w:pStyle w:val="TableContents"/>
              <w:bidi w:val="0"/>
              <w:spacing w:before="0" w:after="283"/>
              <w:jc w:val="left"/>
              <w:rPr/>
            </w:pPr>
            <w:r>
              <w:rPr/>
              <w:t> </w:t>
            </w:r>
          </w:p>
        </w:tc>
      </w:tr>
      <w:tr>
        <w:trPr/>
        <w:tc>
          <w:tcPr>
            <w:tcW w:w="390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1,411</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1,084</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b/>
              </w:rPr>
            </w:pPr>
            <w:r>
              <w:rPr>
                <w:b/>
              </w:rPr>
              <w:t>30.3</w:t>
            </w:r>
          </w:p>
        </w:tc>
        <w:tc>
          <w:tcPr>
            <w:tcW w:w="396"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b/>
              </w:rPr>
            </w:pPr>
            <w:r>
              <w:rPr>
                <w:b/>
              </w:rPr>
              <w:t>2,611</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2,125</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b/>
              </w:rPr>
            </w:pPr>
            <w:r>
              <w:rPr>
                <w:b/>
              </w:rPr>
              <w:t>22.8</w:t>
            </w:r>
          </w:p>
        </w:tc>
        <w:tc>
          <w:tcPr>
            <w:tcW w:w="407" w:type="dxa"/>
            <w:tcBorders/>
            <w:shd w:fill="CCEEFF" w:val="clear"/>
            <w:vAlign w:val="bottom"/>
          </w:tcPr>
          <w:p>
            <w:pPr>
              <w:pStyle w:val="TableContents"/>
              <w:bidi w:val="0"/>
              <w:spacing w:before="0" w:after="283"/>
              <w:jc w:val="left"/>
              <w:rPr>
                <w:b/>
              </w:rPr>
            </w:pPr>
            <w:r>
              <w:rPr>
                <w:b/>
              </w:rPr>
              <w:t>% </w:t>
            </w:r>
          </w:p>
        </w:tc>
      </w:tr>
      <w:tr>
        <w:trPr/>
        <w:tc>
          <w:tcPr>
            <w:tcW w:w="390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income</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b/>
              </w:rPr>
            </w:pPr>
            <w:r>
              <w:rPr>
                <w:b/>
              </w:rPr>
              <w:t>68</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b/>
              </w:rPr>
            </w:pPr>
            <w:r>
              <w:rPr>
                <w:b/>
              </w:rPr>
              <w:t>230</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b/>
              </w:rPr>
            </w:pPr>
            <w:r>
              <w:rPr>
                <w:b/>
              </w:rPr>
              <w:t>(70.5</w:t>
            </w:r>
          </w:p>
        </w:tc>
        <w:tc>
          <w:tcPr>
            <w:tcW w:w="396"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b/>
              </w:rPr>
            </w:pPr>
            <w:r>
              <w:rPr>
                <w:b/>
              </w:rPr>
              <w:t>210</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b/>
              </w:rPr>
            </w:pPr>
            <w:r>
              <w:rPr>
                <w:b/>
              </w:rPr>
              <w:t>372</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b/>
              </w:rPr>
            </w:pPr>
            <w:r>
              <w:rPr>
                <w:b/>
              </w:rPr>
              <w:t>(43.7</w:t>
            </w:r>
          </w:p>
        </w:tc>
        <w:tc>
          <w:tcPr>
            <w:tcW w:w="407" w:type="dxa"/>
            <w:tcBorders/>
            <w:vAlign w:val="bottom"/>
          </w:tcPr>
          <w:p>
            <w:pPr>
              <w:pStyle w:val="TableContents"/>
              <w:bidi w:val="0"/>
              <w:spacing w:before="0" w:after="283"/>
              <w:jc w:val="left"/>
              <w:rPr>
                <w:b/>
              </w:rPr>
            </w:pPr>
            <w:r>
              <w:rPr>
                <w:b/>
              </w:rPr>
              <w:t>%) </w:t>
            </w:r>
          </w:p>
        </w:tc>
      </w:tr>
      <w:tr>
        <w:trPr/>
        <w:tc>
          <w:tcPr>
            <w:tcW w:w="39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Finance income (cost):</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756" w:type="dxa"/>
            <w:tcBorders/>
            <w:shd w:fill="CCEEFF" w:val="clear"/>
            <w:vAlign w:val="bottom"/>
          </w:tcPr>
          <w:p>
            <w:pPr>
              <w:pStyle w:val="TableContents"/>
              <w:bidi w:val="0"/>
              <w:spacing w:before="0" w:after="283"/>
              <w:jc w:val="left"/>
              <w:rPr>
                <w:sz w:val="4"/>
                <w:szCs w:val="4"/>
              </w:rPr>
            </w:pPr>
            <w:r>
              <w:rPr>
                <w:sz w:val="4"/>
                <w:szCs w:val="4"/>
              </w:rPr>
            </w:r>
          </w:p>
        </w:tc>
        <w:tc>
          <w:tcPr>
            <w:tcW w:w="396"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756" w:type="dxa"/>
            <w:tcBorders/>
            <w:shd w:fill="CCEEFF" w:val="clear"/>
            <w:vAlign w:val="bottom"/>
          </w:tcPr>
          <w:p>
            <w:pPr>
              <w:pStyle w:val="TableContents"/>
              <w:bidi w:val="0"/>
              <w:spacing w:before="0" w:after="283"/>
              <w:jc w:val="left"/>
              <w:rPr>
                <w:sz w:val="4"/>
                <w:szCs w:val="4"/>
              </w:rPr>
            </w:pPr>
            <w:r>
              <w:rPr>
                <w:sz w:val="4"/>
                <w:szCs w:val="4"/>
              </w:rPr>
            </w:r>
          </w:p>
        </w:tc>
        <w:tc>
          <w:tcPr>
            <w:tcW w:w="407" w:type="dxa"/>
            <w:tcBorders/>
            <w:shd w:fill="CCEEFF" w:val="clear"/>
            <w:vAlign w:val="bottom"/>
          </w:tcPr>
          <w:p>
            <w:pPr>
              <w:pStyle w:val="TableContents"/>
              <w:bidi w:val="0"/>
              <w:spacing w:before="0" w:after="283"/>
              <w:jc w:val="left"/>
              <w:rPr>
                <w:sz w:val="4"/>
                <w:szCs w:val="4"/>
              </w:rPr>
            </w:pPr>
            <w:r>
              <w:rPr>
                <w:sz w:val="4"/>
                <w:szCs w:val="4"/>
              </w:rPr>
            </w:r>
          </w:p>
        </w:tc>
      </w:tr>
      <w:tr>
        <w:trPr/>
        <w:tc>
          <w:tcPr>
            <w:tcW w:w="3907" w:type="dxa"/>
            <w:tcBorders/>
          </w:tcPr>
          <w:p>
            <w:pPr>
              <w:pStyle w:val="TableContents"/>
              <w:bidi w:val="0"/>
              <w:spacing w:before="0" w:after="0"/>
              <w:jc w:val="left"/>
              <w:rPr>
                <w:rFonts w:ascii="Times New Roman" w:hAnsi="Times New Roman"/>
                <w:sz w:val="20"/>
              </w:rPr>
            </w:pPr>
            <w:r>
              <w:rPr>
                <w:rFonts w:ascii="Times New Roman" w:hAnsi="Times New Roman"/>
                <w:sz w:val="20"/>
              </w:rPr>
              <w:t>Net finance cost</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(136</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(145</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(6.5</w:t>
            </w:r>
          </w:p>
        </w:tc>
        <w:tc>
          <w:tcPr>
            <w:tcW w:w="39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(265</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(260</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2.0</w:t>
            </w:r>
          </w:p>
        </w:tc>
        <w:tc>
          <w:tcPr>
            <w:tcW w:w="407" w:type="dxa"/>
            <w:tcBorders/>
            <w:vAlign w:val="bottom"/>
          </w:tcPr>
          <w:p>
            <w:pPr>
              <w:pStyle w:val="TableContents"/>
              <w:bidi w:val="0"/>
              <w:spacing w:before="0" w:after="283"/>
              <w:jc w:val="left"/>
              <w:rPr/>
            </w:pPr>
            <w:r>
              <w:rPr/>
              <w:t>% </w:t>
            </w:r>
          </w:p>
        </w:tc>
      </w:tr>
      <w:tr>
        <w:trPr/>
        <w:tc>
          <w:tcPr>
            <w:tcW w:w="3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(68</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85</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39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(55</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112</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407" w:type="dxa"/>
            <w:tcBorders/>
            <w:shd w:fill="CCEEFF" w:val="clear"/>
            <w:vAlign w:val="bottom"/>
          </w:tcPr>
          <w:p>
            <w:pPr>
              <w:pStyle w:val="TableContents"/>
              <w:bidi w:val="0"/>
              <w:spacing w:before="0" w:after="283"/>
              <w:jc w:val="left"/>
              <w:rPr/>
            </w:pPr>
            <w:r>
              <w:rPr/>
              <w:t> </w:t>
            </w:r>
          </w:p>
        </w:tc>
      </w:tr>
      <w:tr>
        <w:trPr/>
        <w:tc>
          <w:tcPr>
            <w:tcW w:w="3907"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39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407" w:type="dxa"/>
            <w:tcBorders/>
            <w:vAlign w:val="bottom"/>
          </w:tcPr>
          <w:p>
            <w:pPr>
              <w:pStyle w:val="TableContents"/>
              <w:bidi w:val="0"/>
              <w:spacing w:before="0" w:after="283"/>
              <w:jc w:val="left"/>
              <w:rPr/>
            </w:pPr>
            <w:r>
              <w:rPr/>
              <w:t> </w:t>
            </w:r>
          </w:p>
        </w:tc>
      </w:tr>
      <w:tr>
        <w:trPr/>
        <w:tc>
          <w:tcPr>
            <w:tcW w:w="390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for the period</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(58</w:t>
            </w:r>
          </w:p>
        </w:tc>
        <w:tc>
          <w:tcPr>
            <w:tcW w:w="155"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68</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39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b/>
              </w:rPr>
            </w:pPr>
            <w:r>
              <w:rPr>
                <w:b/>
              </w:rPr>
              <w:t>(47</w:t>
            </w:r>
          </w:p>
        </w:tc>
        <w:tc>
          <w:tcPr>
            <w:tcW w:w="155"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90</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407" w:type="dxa"/>
            <w:tcBorders/>
            <w:shd w:fill="CCEEFF" w:val="clear"/>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Grupo Aeroméxico, S.A.B. de C.V.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Earnings per Share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25"/>
        <w:gridCol w:w="220"/>
        <w:gridCol w:w="98"/>
        <w:gridCol w:w="889"/>
        <w:gridCol w:w="254"/>
        <w:gridCol w:w="201"/>
        <w:gridCol w:w="98"/>
        <w:gridCol w:w="729"/>
        <w:gridCol w:w="60"/>
        <w:gridCol w:w="220"/>
        <w:gridCol w:w="84"/>
        <w:gridCol w:w="729"/>
        <w:gridCol w:w="217"/>
        <w:gridCol w:w="189"/>
        <w:gridCol w:w="84"/>
        <w:gridCol w:w="643"/>
        <w:gridCol w:w="65"/>
      </w:tblGrid>
      <w:tr>
        <w:trPr/>
        <w:tc>
          <w:tcPr>
            <w:tcW w:w="5425"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42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2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9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5" w:type="dxa"/>
            <w:tcBorders/>
            <w:vAlign w:val="bottom"/>
          </w:tcPr>
          <w:p>
            <w:pPr>
              <w:pStyle w:val="TableContents"/>
              <w:bidi w:val="0"/>
              <w:spacing w:before="0" w:after="283"/>
              <w:jc w:val="left"/>
              <w:rPr/>
            </w:pPr>
            <w:r>
              <w:rPr/>
              <w:t> </w:t>
            </w:r>
          </w:p>
        </w:tc>
      </w:tr>
      <w:tr>
        <w:trPr/>
        <w:tc>
          <w:tcPr>
            <w:tcW w:w="5425" w:type="dxa"/>
            <w:tcBorders/>
            <w:vAlign w:val="bottom"/>
          </w:tcPr>
          <w:p>
            <w:pPr>
              <w:pStyle w:val="TableContents"/>
              <w:bidi w:val="0"/>
              <w:spacing w:before="0" w:after="283"/>
              <w:jc w:val="left"/>
              <w:rPr>
                <w:i/>
              </w:rPr>
            </w:pPr>
            <w:r>
              <w:rPr>
                <w:i/>
              </w:rPr>
              <w:t>(In millions of U.S. dollars, except for income per share)</w:t>
            </w:r>
          </w:p>
        </w:tc>
        <w:tc>
          <w:tcPr>
            <w:tcW w:w="220" w:type="dxa"/>
            <w:tcBorders/>
            <w:vAlign w:val="bottom"/>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1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54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for the year</w:t>
            </w:r>
          </w:p>
        </w:tc>
        <w:tc>
          <w:tcPr>
            <w:tcW w:w="22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(58</w:t>
            </w:r>
          </w:p>
        </w:tc>
        <w:tc>
          <w:tcPr>
            <w:tcW w:w="2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68</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(47</w:t>
            </w:r>
          </w:p>
        </w:tc>
        <w:tc>
          <w:tcPr>
            <w:tcW w:w="21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90</w:t>
            </w:r>
          </w:p>
        </w:tc>
        <w:tc>
          <w:tcPr>
            <w:tcW w:w="65" w:type="dxa"/>
            <w:tcBorders/>
            <w:shd w:fill="CCEEFF" w:val="clear"/>
            <w:vAlign w:val="bottom"/>
          </w:tcPr>
          <w:p>
            <w:pPr>
              <w:pStyle w:val="TableContents"/>
              <w:bidi w:val="0"/>
              <w:spacing w:before="0" w:after="283"/>
              <w:jc w:val="left"/>
              <w:rPr/>
            </w:pPr>
            <w:r>
              <w:rPr/>
              <w:t> </w:t>
            </w:r>
          </w:p>
        </w:tc>
      </w:tr>
      <w:tr>
        <w:trPr/>
        <w:tc>
          <w:tcPr>
            <w:tcW w:w="5425" w:type="dxa"/>
            <w:tcBorders/>
          </w:tcPr>
          <w:p>
            <w:pPr>
              <w:pStyle w:val="TableContents"/>
              <w:bidi w:val="0"/>
              <w:spacing w:before="0" w:after="0"/>
              <w:jc w:val="left"/>
              <w:rPr>
                <w:rFonts w:ascii="Times New Roman" w:hAnsi="Times New Roman"/>
                <w:sz w:val="20"/>
              </w:rPr>
            </w:pPr>
            <w:r>
              <w:rPr>
                <w:rFonts w:ascii="Times New Roman" w:hAnsi="Times New Roman"/>
                <w:sz w:val="20"/>
              </w:rPr>
              <w:t>Earnings per share from continuing operations</w:t>
            </w:r>
          </w:p>
        </w:tc>
        <w:tc>
          <w:tcPr>
            <w:tcW w:w="22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889"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7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29"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64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425"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7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729" w:type="dxa"/>
            <w:tcBorders/>
            <w:vAlign w:val="bottom"/>
          </w:tcPr>
          <w:p>
            <w:pPr>
              <w:pStyle w:val="TableContents"/>
              <w:pBdr>
                <w:top w:val="single" w:sz="2" w:space="1" w:color="000000"/>
              </w:pBdr>
              <w:bidi w:val="0"/>
              <w:spacing w:before="0" w:after="0"/>
              <w:jc w:val="left"/>
              <w:rPr/>
            </w:pPr>
            <w:r>
              <w:rPr/>
              <w:t> </w:t>
            </w:r>
          </w:p>
        </w:tc>
        <w:tc>
          <w:tcPr>
            <w:tcW w:w="217"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income per share (US dollars)</w:t>
            </w:r>
          </w:p>
        </w:tc>
        <w:tc>
          <w:tcPr>
            <w:tcW w:w="22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(0.04</w:t>
            </w:r>
          </w:p>
        </w:tc>
        <w:tc>
          <w:tcPr>
            <w:tcW w:w="2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0.05</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(0.03</w:t>
            </w:r>
          </w:p>
        </w:tc>
        <w:tc>
          <w:tcPr>
            <w:tcW w:w="21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0.07</w:t>
            </w:r>
          </w:p>
        </w:tc>
        <w:tc>
          <w:tcPr>
            <w:tcW w:w="65" w:type="dxa"/>
            <w:tcBorders/>
            <w:shd w:fill="CCEEFF" w:val="clear"/>
            <w:vAlign w:val="bottom"/>
          </w:tcPr>
          <w:p>
            <w:pPr>
              <w:pStyle w:val="TableContents"/>
              <w:bidi w:val="0"/>
              <w:spacing w:before="0" w:after="283"/>
              <w:jc w:val="left"/>
              <w:rPr/>
            </w:pPr>
            <w:r>
              <w:rPr/>
              <w:t> </w:t>
            </w:r>
          </w:p>
        </w:tc>
      </w:tr>
      <w:tr>
        <w:trPr/>
        <w:tc>
          <w:tcPr>
            <w:tcW w:w="5425" w:type="dxa"/>
            <w:tcBorders/>
          </w:tcPr>
          <w:p>
            <w:pPr>
              <w:pStyle w:val="TableContents"/>
              <w:bidi w:val="0"/>
              <w:spacing w:before="0" w:after="0"/>
              <w:jc w:val="left"/>
              <w:rPr>
                <w:rFonts w:ascii="Times New Roman" w:hAnsi="Times New Roman"/>
                <w:sz w:val="20"/>
              </w:rPr>
            </w:pPr>
            <w:r>
              <w:rPr>
                <w:rFonts w:ascii="Times New Roman" w:hAnsi="Times New Roman"/>
                <w:sz w:val="20"/>
              </w:rPr>
              <w:t>Diluted income per share (US dollars)</w:t>
            </w:r>
          </w:p>
        </w:tc>
        <w:tc>
          <w:tcPr>
            <w:tcW w:w="22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(0.04</w:t>
            </w:r>
          </w:p>
        </w:tc>
        <w:tc>
          <w:tcPr>
            <w:tcW w:w="2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0.05</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(0.03</w:t>
            </w:r>
          </w:p>
        </w:tc>
        <w:tc>
          <w:tcPr>
            <w:tcW w:w="21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0.07</w:t>
            </w:r>
          </w:p>
        </w:tc>
        <w:tc>
          <w:tcPr>
            <w:tcW w:w="65" w:type="dxa"/>
            <w:tcBorders/>
            <w:vAlign w:val="bottom"/>
          </w:tcPr>
          <w:p>
            <w:pPr>
              <w:pStyle w:val="TableContents"/>
              <w:bidi w:val="0"/>
              <w:spacing w:before="0" w:after="283"/>
              <w:jc w:val="left"/>
              <w:rPr/>
            </w:pPr>
            <w:r>
              <w:rPr/>
              <w:t> </w:t>
            </w:r>
          </w:p>
        </w:tc>
      </w:tr>
      <w:tr>
        <w:trPr/>
        <w:tc>
          <w:tcPr>
            <w:tcW w:w="5425"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7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729" w:type="dxa"/>
            <w:tcBorders/>
            <w:vAlign w:val="bottom"/>
          </w:tcPr>
          <w:p>
            <w:pPr>
              <w:pStyle w:val="TableContents"/>
              <w:pBdr>
                <w:top w:val="single" w:sz="2" w:space="1" w:color="000000"/>
              </w:pBdr>
              <w:bidi w:val="0"/>
              <w:spacing w:before="0" w:after="0"/>
              <w:jc w:val="left"/>
              <w:rPr/>
            </w:pPr>
            <w:r>
              <w:rPr/>
              <w:t> </w:t>
            </w:r>
          </w:p>
        </w:tc>
        <w:tc>
          <w:tcPr>
            <w:tcW w:w="217"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income per ADS (US dollars)</w:t>
            </w:r>
          </w:p>
        </w:tc>
        <w:tc>
          <w:tcPr>
            <w:tcW w:w="22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(0.40</w:t>
            </w:r>
          </w:p>
        </w:tc>
        <w:tc>
          <w:tcPr>
            <w:tcW w:w="2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0.50</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(0.32</w:t>
            </w:r>
          </w:p>
        </w:tc>
        <w:tc>
          <w:tcPr>
            <w:tcW w:w="21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0.66</w:t>
            </w:r>
          </w:p>
        </w:tc>
        <w:tc>
          <w:tcPr>
            <w:tcW w:w="65" w:type="dxa"/>
            <w:tcBorders/>
            <w:shd w:fill="CCEEFF" w:val="clear"/>
            <w:vAlign w:val="bottom"/>
          </w:tcPr>
          <w:p>
            <w:pPr>
              <w:pStyle w:val="TableContents"/>
              <w:bidi w:val="0"/>
              <w:spacing w:before="0" w:after="283"/>
              <w:jc w:val="left"/>
              <w:rPr/>
            </w:pPr>
            <w:r>
              <w:rPr/>
              <w:t> </w:t>
            </w:r>
          </w:p>
        </w:tc>
      </w:tr>
      <w:tr>
        <w:trPr/>
        <w:tc>
          <w:tcPr>
            <w:tcW w:w="5425" w:type="dxa"/>
            <w:tcBorders/>
          </w:tcPr>
          <w:p>
            <w:pPr>
              <w:pStyle w:val="TableContents"/>
              <w:bidi w:val="0"/>
              <w:spacing w:before="0" w:after="0"/>
              <w:jc w:val="left"/>
              <w:rPr>
                <w:rFonts w:ascii="Times New Roman" w:hAnsi="Times New Roman"/>
                <w:sz w:val="20"/>
              </w:rPr>
            </w:pPr>
            <w:r>
              <w:rPr>
                <w:rFonts w:ascii="Times New Roman" w:hAnsi="Times New Roman"/>
                <w:sz w:val="20"/>
              </w:rPr>
              <w:t>Diluted income per ADS (US dollars)</w:t>
            </w:r>
          </w:p>
        </w:tc>
        <w:tc>
          <w:tcPr>
            <w:tcW w:w="22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(0.40</w:t>
            </w:r>
          </w:p>
        </w:tc>
        <w:tc>
          <w:tcPr>
            <w:tcW w:w="2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0.50</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(0.32</w:t>
            </w:r>
          </w:p>
        </w:tc>
        <w:tc>
          <w:tcPr>
            <w:tcW w:w="21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0.66</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Figures may not sum to total due to rounding.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943350" cy="4572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943350" cy="457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Grupo Aeroméxico, S.A.B. de C.V.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Financial Position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31"/>
        <w:gridCol w:w="466"/>
        <w:gridCol w:w="136"/>
        <w:gridCol w:w="1287"/>
        <w:gridCol w:w="155"/>
        <w:gridCol w:w="414"/>
        <w:gridCol w:w="189"/>
        <w:gridCol w:w="1768"/>
        <w:gridCol w:w="159"/>
      </w:tblGrid>
      <w:tr>
        <w:trPr/>
        <w:tc>
          <w:tcPr>
            <w:tcW w:w="5631"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31"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949" w:type="dxa"/>
            <w:gridSpan w:val="6"/>
            <w:tcBorders/>
            <w:vAlign w:val="bottom"/>
          </w:tcPr>
          <w:p>
            <w:pPr>
              <w:pStyle w:val="TableContents"/>
              <w:bidi w:val="0"/>
              <w:spacing w:before="0" w:after="283"/>
              <w:jc w:val="center"/>
              <w:rPr>
                <w:b/>
              </w:rPr>
            </w:pPr>
            <w:r>
              <w:rPr>
                <w:b/>
              </w:rPr>
              <w:t>(USD Millions)</w:t>
            </w:r>
          </w:p>
        </w:tc>
        <w:tc>
          <w:tcPr>
            <w:tcW w:w="159" w:type="dxa"/>
            <w:tcBorders/>
            <w:vAlign w:val="bottom"/>
          </w:tcPr>
          <w:p>
            <w:pPr>
              <w:pStyle w:val="TableContents"/>
              <w:bidi w:val="0"/>
              <w:spacing w:before="0" w:after="283"/>
              <w:jc w:val="left"/>
              <w:rPr/>
            </w:pPr>
            <w:r>
              <w:rPr/>
              <w:t> </w:t>
            </w:r>
          </w:p>
        </w:tc>
      </w:tr>
      <w:tr>
        <w:trPr/>
        <w:tc>
          <w:tcPr>
            <w:tcW w:w="5631"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9" w:type="dxa"/>
            <w:tcBorders/>
            <w:vAlign w:val="bottom"/>
          </w:tcPr>
          <w:p>
            <w:pPr>
              <w:pStyle w:val="TableContents"/>
              <w:bidi w:val="0"/>
              <w:spacing w:before="0" w:after="283"/>
              <w:jc w:val="left"/>
              <w:rPr/>
            </w:pPr>
            <w:r>
              <w:rPr/>
              <w:t> </w:t>
            </w:r>
          </w:p>
        </w:tc>
      </w:tr>
      <w:tr>
        <w:trPr/>
        <w:tc>
          <w:tcPr>
            <w:tcW w:w="5631"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Assets</w:t>
            </w:r>
          </w:p>
        </w:tc>
        <w:tc>
          <w:tcPr>
            <w:tcW w:w="46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2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4"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76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631"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46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sz w:val="4"/>
                <w:szCs w:val="4"/>
              </w:rPr>
            </w:pPr>
            <w:r>
              <w:rPr>
                <w:sz w:val="4"/>
                <w:szCs w:val="4"/>
              </w:rPr>
            </w:r>
          </w:p>
        </w:tc>
        <w:tc>
          <w:tcPr>
            <w:tcW w:w="12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76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6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6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1,037</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1,024</w:t>
            </w:r>
          </w:p>
        </w:tc>
        <w:tc>
          <w:tcPr>
            <w:tcW w:w="159" w:type="dxa"/>
            <w:tcBorders/>
            <w:shd w:fill="CCEEFF" w:val="clear"/>
            <w:vAlign w:val="bottom"/>
          </w:tcPr>
          <w:p>
            <w:pPr>
              <w:pStyle w:val="TableContents"/>
              <w:bidi w:val="0"/>
              <w:spacing w:before="0" w:after="283"/>
              <w:jc w:val="left"/>
              <w:rPr/>
            </w:pPr>
            <w:r>
              <w:rPr/>
              <w:t> </w:t>
            </w:r>
          </w:p>
        </w:tc>
      </w:tr>
      <w:tr>
        <w:trPr/>
        <w:tc>
          <w:tcPr>
            <w:tcW w:w="5631" w:type="dxa"/>
            <w:tcBorders/>
          </w:tcPr>
          <w:p>
            <w:pPr>
              <w:pStyle w:val="TableContents"/>
              <w:bidi w:val="0"/>
              <w:spacing w:before="0" w:after="0"/>
              <w:jc w:val="left"/>
              <w:rPr>
                <w:rFonts w:ascii="Times New Roman" w:hAnsi="Times New Roman"/>
                <w:sz w:val="20"/>
              </w:rPr>
            </w:pPr>
            <w:r>
              <w:rPr>
                <w:rFonts w:ascii="Times New Roman" w:hAnsi="Times New Roman"/>
                <w:sz w:val="20"/>
              </w:rPr>
              <w:t>Trade and other receivables</w:t>
            </w:r>
          </w:p>
        </w:tc>
        <w:tc>
          <w:tcPr>
            <w:tcW w:w="46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764</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700</w:t>
            </w:r>
          </w:p>
        </w:tc>
        <w:tc>
          <w:tcPr>
            <w:tcW w:w="159" w:type="dxa"/>
            <w:tcBorders/>
            <w:vAlign w:val="bottom"/>
          </w:tcPr>
          <w:p>
            <w:pPr>
              <w:pStyle w:val="TableContents"/>
              <w:bidi w:val="0"/>
              <w:spacing w:before="0" w:after="283"/>
              <w:jc w:val="left"/>
              <w:rPr/>
            </w:pPr>
            <w:r>
              <w:rPr/>
              <w:t> </w:t>
            </w:r>
          </w:p>
        </w:tc>
      </w:tr>
      <w:tr>
        <w:trPr/>
        <w:tc>
          <w:tcPr>
            <w:tcW w:w="56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from related parties</w:t>
            </w:r>
          </w:p>
        </w:tc>
        <w:tc>
          <w:tcPr>
            <w:tcW w:w="46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3</w:t>
            </w:r>
          </w:p>
        </w:tc>
        <w:tc>
          <w:tcPr>
            <w:tcW w:w="159" w:type="dxa"/>
            <w:tcBorders/>
            <w:shd w:fill="CCEEFF" w:val="clear"/>
            <w:vAlign w:val="bottom"/>
          </w:tcPr>
          <w:p>
            <w:pPr>
              <w:pStyle w:val="TableContents"/>
              <w:bidi w:val="0"/>
              <w:spacing w:before="0" w:after="283"/>
              <w:jc w:val="left"/>
              <w:rPr/>
            </w:pPr>
            <w:r>
              <w:rPr/>
              <w:t> </w:t>
            </w:r>
          </w:p>
        </w:tc>
      </w:tr>
      <w:tr>
        <w:trPr/>
        <w:tc>
          <w:tcPr>
            <w:tcW w:w="5631" w:type="dxa"/>
            <w:tcBorders/>
          </w:tcPr>
          <w:p>
            <w:pPr>
              <w:pStyle w:val="TableContents"/>
              <w:bidi w:val="0"/>
              <w:spacing w:before="0" w:after="0"/>
              <w:jc w:val="left"/>
              <w:rPr>
                <w:rFonts w:ascii="Times New Roman" w:hAnsi="Times New Roman"/>
                <w:sz w:val="20"/>
              </w:rPr>
            </w:pPr>
            <w:r>
              <w:rPr>
                <w:rFonts w:ascii="Times New Roman" w:hAnsi="Times New Roman"/>
                <w:sz w:val="20"/>
              </w:rPr>
              <w:t>Prepayments and deposits</w:t>
            </w:r>
          </w:p>
        </w:tc>
        <w:tc>
          <w:tcPr>
            <w:tcW w:w="46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72</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78</w:t>
            </w:r>
          </w:p>
        </w:tc>
        <w:tc>
          <w:tcPr>
            <w:tcW w:w="159" w:type="dxa"/>
            <w:tcBorders/>
            <w:vAlign w:val="bottom"/>
          </w:tcPr>
          <w:p>
            <w:pPr>
              <w:pStyle w:val="TableContents"/>
              <w:bidi w:val="0"/>
              <w:spacing w:before="0" w:after="283"/>
              <w:jc w:val="left"/>
              <w:rPr/>
            </w:pPr>
            <w:r>
              <w:rPr/>
              <w:t> </w:t>
            </w:r>
          </w:p>
        </w:tc>
      </w:tr>
      <w:tr>
        <w:trPr/>
        <w:tc>
          <w:tcPr>
            <w:tcW w:w="56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46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190</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174</w:t>
            </w:r>
          </w:p>
        </w:tc>
        <w:tc>
          <w:tcPr>
            <w:tcW w:w="159" w:type="dxa"/>
            <w:tcBorders/>
            <w:shd w:fill="CCEEFF" w:val="clear"/>
            <w:vAlign w:val="bottom"/>
          </w:tcPr>
          <w:p>
            <w:pPr>
              <w:pStyle w:val="TableContents"/>
              <w:bidi w:val="0"/>
              <w:spacing w:before="0" w:after="283"/>
              <w:jc w:val="left"/>
              <w:rPr/>
            </w:pPr>
            <w:r>
              <w:rPr/>
              <w:t> </w:t>
            </w:r>
          </w:p>
        </w:tc>
      </w:tr>
      <w:tr>
        <w:trPr/>
        <w:tc>
          <w:tcPr>
            <w:tcW w:w="563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46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b/>
              </w:rPr>
            </w:pPr>
            <w:r>
              <w:rPr>
                <w:b/>
              </w:rPr>
              <w:t>2,072</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b/>
              </w:rPr>
            </w:pPr>
            <w:r>
              <w:rPr>
                <w:b/>
              </w:rPr>
              <w:t>1,980</w:t>
            </w:r>
          </w:p>
        </w:tc>
        <w:tc>
          <w:tcPr>
            <w:tcW w:w="159" w:type="dxa"/>
            <w:tcBorders/>
            <w:vAlign w:val="bottom"/>
          </w:tcPr>
          <w:p>
            <w:pPr>
              <w:pStyle w:val="TableContents"/>
              <w:bidi w:val="0"/>
              <w:spacing w:before="0" w:after="283"/>
              <w:jc w:val="left"/>
              <w:rPr/>
            </w:pPr>
            <w:r>
              <w:rPr/>
              <w:t> </w:t>
            </w:r>
          </w:p>
        </w:tc>
      </w:tr>
      <w:tr>
        <w:trPr/>
        <w:tc>
          <w:tcPr>
            <w:tcW w:w="56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46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2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4"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76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631"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including right-of-use</w:t>
            </w:r>
          </w:p>
        </w:tc>
        <w:tc>
          <w:tcPr>
            <w:tcW w:w="46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3,727</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3,674</w:t>
            </w:r>
          </w:p>
        </w:tc>
        <w:tc>
          <w:tcPr>
            <w:tcW w:w="159" w:type="dxa"/>
            <w:tcBorders/>
            <w:vAlign w:val="bottom"/>
          </w:tcPr>
          <w:p>
            <w:pPr>
              <w:pStyle w:val="TableContents"/>
              <w:bidi w:val="0"/>
              <w:spacing w:before="0" w:after="283"/>
              <w:jc w:val="left"/>
              <w:rPr/>
            </w:pPr>
            <w:r>
              <w:rPr/>
              <w:t> </w:t>
            </w:r>
          </w:p>
        </w:tc>
      </w:tr>
      <w:tr>
        <w:trPr/>
        <w:tc>
          <w:tcPr>
            <w:tcW w:w="56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46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1,581</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1,539</w:t>
            </w:r>
          </w:p>
        </w:tc>
        <w:tc>
          <w:tcPr>
            <w:tcW w:w="159" w:type="dxa"/>
            <w:tcBorders/>
            <w:shd w:fill="CCEEFF" w:val="clear"/>
            <w:vAlign w:val="bottom"/>
          </w:tcPr>
          <w:p>
            <w:pPr>
              <w:pStyle w:val="TableContents"/>
              <w:bidi w:val="0"/>
              <w:spacing w:before="0" w:after="283"/>
              <w:jc w:val="left"/>
              <w:rPr/>
            </w:pPr>
            <w:r>
              <w:rPr/>
              <w:t> </w:t>
            </w:r>
          </w:p>
        </w:tc>
      </w:tr>
      <w:tr>
        <w:trPr/>
        <w:tc>
          <w:tcPr>
            <w:tcW w:w="563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46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b/>
              </w:rPr>
            </w:pPr>
            <w:r>
              <w:rPr>
                <w:b/>
              </w:rPr>
              <w:t>5,308</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b/>
              </w:rPr>
            </w:pPr>
            <w:r>
              <w:rPr>
                <w:b/>
              </w:rPr>
              <w:t>5,213</w:t>
            </w:r>
          </w:p>
        </w:tc>
        <w:tc>
          <w:tcPr>
            <w:tcW w:w="159" w:type="dxa"/>
            <w:tcBorders/>
            <w:vAlign w:val="bottom"/>
          </w:tcPr>
          <w:p>
            <w:pPr>
              <w:pStyle w:val="TableContents"/>
              <w:bidi w:val="0"/>
              <w:spacing w:before="0" w:after="283"/>
              <w:jc w:val="left"/>
              <w:rPr/>
            </w:pPr>
            <w:r>
              <w:rPr/>
              <w:t> </w:t>
            </w:r>
          </w:p>
        </w:tc>
      </w:tr>
      <w:tr>
        <w:trPr/>
        <w:tc>
          <w:tcPr>
            <w:tcW w:w="563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46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b/>
              </w:rPr>
            </w:pPr>
            <w:r>
              <w:rPr>
                <w:b/>
              </w:rPr>
              <w:t>7,379</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b/>
              </w:rPr>
            </w:pPr>
            <w:r>
              <w:rPr>
                <w:b/>
              </w:rPr>
              <w:t>7,193</w:t>
            </w:r>
          </w:p>
        </w:tc>
        <w:tc>
          <w:tcPr>
            <w:tcW w:w="159" w:type="dxa"/>
            <w:tcBorders/>
            <w:shd w:fill="CCEEFF" w:val="clear"/>
            <w:vAlign w:val="bottom"/>
          </w:tcPr>
          <w:p>
            <w:pPr>
              <w:pStyle w:val="TableContents"/>
              <w:bidi w:val="0"/>
              <w:spacing w:before="0" w:after="283"/>
              <w:jc w:val="left"/>
              <w:rPr/>
            </w:pPr>
            <w:r>
              <w:rPr/>
              <w:t> </w:t>
            </w:r>
          </w:p>
        </w:tc>
      </w:tr>
      <w:tr>
        <w:trPr/>
        <w:tc>
          <w:tcPr>
            <w:tcW w:w="5631"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Liabilities</w:t>
            </w:r>
          </w:p>
        </w:tc>
        <w:tc>
          <w:tcPr>
            <w:tcW w:w="46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sz w:val="4"/>
                <w:szCs w:val="4"/>
              </w:rPr>
            </w:pPr>
            <w:r>
              <w:rPr>
                <w:sz w:val="4"/>
                <w:szCs w:val="4"/>
              </w:rPr>
            </w:r>
          </w:p>
        </w:tc>
        <w:tc>
          <w:tcPr>
            <w:tcW w:w="12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76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6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46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2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4"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76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631" w:type="dxa"/>
            <w:tcBorders/>
          </w:tcPr>
          <w:p>
            <w:pPr>
              <w:pStyle w:val="TableContents"/>
              <w:bidi w:val="0"/>
              <w:spacing w:before="0" w:after="0"/>
              <w:jc w:val="left"/>
              <w:rPr>
                <w:rFonts w:ascii="Times New Roman" w:hAnsi="Times New Roman"/>
                <w:sz w:val="20"/>
              </w:rPr>
            </w:pPr>
            <w:r>
              <w:rPr>
                <w:rFonts w:ascii="Times New Roman" w:hAnsi="Times New Roman"/>
                <w:sz w:val="20"/>
              </w:rPr>
              <w:t>Loans and borrowings, including leases</w:t>
            </w:r>
          </w:p>
        </w:tc>
        <w:tc>
          <w:tcPr>
            <w:tcW w:w="46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469</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451</w:t>
            </w:r>
          </w:p>
        </w:tc>
        <w:tc>
          <w:tcPr>
            <w:tcW w:w="159" w:type="dxa"/>
            <w:tcBorders/>
            <w:vAlign w:val="bottom"/>
          </w:tcPr>
          <w:p>
            <w:pPr>
              <w:pStyle w:val="TableContents"/>
              <w:bidi w:val="0"/>
              <w:spacing w:before="0" w:after="283"/>
              <w:jc w:val="left"/>
              <w:rPr/>
            </w:pPr>
            <w:r>
              <w:rPr/>
              <w:t> </w:t>
            </w:r>
          </w:p>
        </w:tc>
      </w:tr>
      <w:tr>
        <w:trPr/>
        <w:tc>
          <w:tcPr>
            <w:tcW w:w="56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46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2,871</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2,645</w:t>
            </w:r>
          </w:p>
        </w:tc>
        <w:tc>
          <w:tcPr>
            <w:tcW w:w="159" w:type="dxa"/>
            <w:tcBorders/>
            <w:shd w:fill="CCEEFF" w:val="clear"/>
            <w:vAlign w:val="bottom"/>
          </w:tcPr>
          <w:p>
            <w:pPr>
              <w:pStyle w:val="TableContents"/>
              <w:bidi w:val="0"/>
              <w:spacing w:before="0" w:after="283"/>
              <w:jc w:val="left"/>
              <w:rPr/>
            </w:pPr>
            <w:r>
              <w:rPr/>
              <w:t> </w:t>
            </w:r>
          </w:p>
        </w:tc>
      </w:tr>
      <w:tr>
        <w:trPr/>
        <w:tc>
          <w:tcPr>
            <w:tcW w:w="563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46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b/>
              </w:rPr>
            </w:pPr>
            <w:r>
              <w:rPr>
                <w:b/>
              </w:rPr>
              <w:t>3,340</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b/>
              </w:rPr>
            </w:pPr>
            <w:r>
              <w:rPr>
                <w:b/>
              </w:rPr>
              <w:t>3,096</w:t>
            </w:r>
          </w:p>
        </w:tc>
        <w:tc>
          <w:tcPr>
            <w:tcW w:w="159" w:type="dxa"/>
            <w:tcBorders/>
            <w:vAlign w:val="bottom"/>
          </w:tcPr>
          <w:p>
            <w:pPr>
              <w:pStyle w:val="TableContents"/>
              <w:bidi w:val="0"/>
              <w:spacing w:before="0" w:after="283"/>
              <w:jc w:val="left"/>
              <w:rPr/>
            </w:pPr>
            <w:r>
              <w:rPr/>
              <w:t> </w:t>
            </w:r>
          </w:p>
        </w:tc>
      </w:tr>
      <w:tr>
        <w:trPr/>
        <w:tc>
          <w:tcPr>
            <w:tcW w:w="56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46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2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4"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76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631" w:type="dxa"/>
            <w:tcBorders/>
          </w:tcPr>
          <w:p>
            <w:pPr>
              <w:pStyle w:val="TableContents"/>
              <w:bidi w:val="0"/>
              <w:spacing w:before="0" w:after="0"/>
              <w:jc w:val="left"/>
              <w:rPr>
                <w:rFonts w:ascii="Times New Roman" w:hAnsi="Times New Roman"/>
                <w:sz w:val="20"/>
              </w:rPr>
            </w:pPr>
            <w:r>
              <w:rPr>
                <w:rFonts w:ascii="Times New Roman" w:hAnsi="Times New Roman"/>
                <w:sz w:val="20"/>
              </w:rPr>
              <w:t>Loans and borrowings, including leases</w:t>
            </w:r>
          </w:p>
        </w:tc>
        <w:tc>
          <w:tcPr>
            <w:tcW w:w="46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3,600</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3,604</w:t>
            </w:r>
          </w:p>
        </w:tc>
        <w:tc>
          <w:tcPr>
            <w:tcW w:w="159" w:type="dxa"/>
            <w:tcBorders/>
            <w:vAlign w:val="bottom"/>
          </w:tcPr>
          <w:p>
            <w:pPr>
              <w:pStyle w:val="TableContents"/>
              <w:bidi w:val="0"/>
              <w:spacing w:before="0" w:after="283"/>
              <w:jc w:val="left"/>
              <w:rPr/>
            </w:pPr>
            <w:r>
              <w:rPr/>
              <w:t> </w:t>
            </w:r>
          </w:p>
        </w:tc>
      </w:tr>
      <w:tr>
        <w:trPr/>
        <w:tc>
          <w:tcPr>
            <w:tcW w:w="56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46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1,077</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1,085</w:t>
            </w:r>
          </w:p>
        </w:tc>
        <w:tc>
          <w:tcPr>
            <w:tcW w:w="159" w:type="dxa"/>
            <w:tcBorders/>
            <w:shd w:fill="CCEEFF" w:val="clear"/>
            <w:vAlign w:val="bottom"/>
          </w:tcPr>
          <w:p>
            <w:pPr>
              <w:pStyle w:val="TableContents"/>
              <w:bidi w:val="0"/>
              <w:spacing w:before="0" w:after="283"/>
              <w:jc w:val="left"/>
              <w:rPr/>
            </w:pPr>
            <w:r>
              <w:rPr/>
              <w:t> </w:t>
            </w:r>
          </w:p>
        </w:tc>
      </w:tr>
      <w:tr>
        <w:trPr/>
        <w:tc>
          <w:tcPr>
            <w:tcW w:w="563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46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b/>
              </w:rPr>
            </w:pPr>
            <w:r>
              <w:rPr>
                <w:b/>
              </w:rPr>
              <w:t>4,677</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b/>
              </w:rPr>
            </w:pPr>
            <w:r>
              <w:rPr>
                <w:b/>
              </w:rPr>
              <w:t>4,689</w:t>
            </w:r>
          </w:p>
        </w:tc>
        <w:tc>
          <w:tcPr>
            <w:tcW w:w="159" w:type="dxa"/>
            <w:tcBorders/>
            <w:vAlign w:val="bottom"/>
          </w:tcPr>
          <w:p>
            <w:pPr>
              <w:pStyle w:val="TableContents"/>
              <w:bidi w:val="0"/>
              <w:spacing w:before="0" w:after="283"/>
              <w:jc w:val="left"/>
              <w:rPr/>
            </w:pPr>
            <w:r>
              <w:rPr/>
              <w:t> </w:t>
            </w:r>
          </w:p>
        </w:tc>
      </w:tr>
      <w:tr>
        <w:trPr/>
        <w:tc>
          <w:tcPr>
            <w:tcW w:w="563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46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b/>
              </w:rPr>
            </w:pPr>
            <w:r>
              <w:rPr>
                <w:b/>
              </w:rPr>
              <w:t>8,017</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b/>
              </w:rPr>
            </w:pPr>
            <w:r>
              <w:rPr>
                <w:b/>
              </w:rPr>
              <w:t>7,785</w:t>
            </w:r>
          </w:p>
        </w:tc>
        <w:tc>
          <w:tcPr>
            <w:tcW w:w="159" w:type="dxa"/>
            <w:tcBorders/>
            <w:shd w:fill="CCEEFF" w:val="clear"/>
            <w:vAlign w:val="bottom"/>
          </w:tcPr>
          <w:p>
            <w:pPr>
              <w:pStyle w:val="TableContents"/>
              <w:bidi w:val="0"/>
              <w:spacing w:before="0" w:after="283"/>
              <w:jc w:val="left"/>
              <w:rPr/>
            </w:pPr>
            <w:r>
              <w:rPr/>
              <w:t> </w:t>
            </w:r>
          </w:p>
        </w:tc>
      </w:tr>
      <w:tr>
        <w:trPr/>
        <w:tc>
          <w:tcPr>
            <w:tcW w:w="5631"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Equity</w:t>
            </w:r>
          </w:p>
        </w:tc>
        <w:tc>
          <w:tcPr>
            <w:tcW w:w="46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sz w:val="4"/>
                <w:szCs w:val="4"/>
              </w:rPr>
            </w:pPr>
            <w:r>
              <w:rPr>
                <w:sz w:val="4"/>
                <w:szCs w:val="4"/>
              </w:rPr>
            </w:r>
          </w:p>
        </w:tc>
        <w:tc>
          <w:tcPr>
            <w:tcW w:w="12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76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63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 (deficit)</w:t>
            </w:r>
          </w:p>
        </w:tc>
        <w:tc>
          <w:tcPr>
            <w:tcW w:w="46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b/>
              </w:rPr>
            </w:pPr>
            <w:r>
              <w:rPr>
                <w:b/>
              </w:rPr>
              <w:t>(638</w:t>
            </w:r>
          </w:p>
        </w:tc>
        <w:tc>
          <w:tcPr>
            <w:tcW w:w="155" w:type="dxa"/>
            <w:tcBorders/>
            <w:shd w:fill="CCEEFF" w:val="clear"/>
            <w:vAlign w:val="bottom"/>
          </w:tcPr>
          <w:p>
            <w:pPr>
              <w:pStyle w:val="TableContents"/>
              <w:bidi w:val="0"/>
              <w:spacing w:before="0" w:after="283"/>
              <w:jc w:val="left"/>
              <w:rPr>
                <w:b/>
              </w:rPr>
            </w:pPr>
            <w:r>
              <w:rPr>
                <w:b/>
              </w:rPr>
              <w:t>) </w:t>
            </w:r>
          </w:p>
        </w:tc>
        <w:tc>
          <w:tcPr>
            <w:tcW w:w="414"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b/>
              </w:rPr>
            </w:pPr>
            <w:r>
              <w:rPr>
                <w:b/>
              </w:rPr>
              <w:t>(592</w:t>
            </w:r>
          </w:p>
        </w:tc>
        <w:tc>
          <w:tcPr>
            <w:tcW w:w="159" w:type="dxa"/>
            <w:tcBorders/>
            <w:shd w:fill="CCEEFF" w:val="clear"/>
            <w:vAlign w:val="bottom"/>
          </w:tcPr>
          <w:p>
            <w:pPr>
              <w:pStyle w:val="TableContents"/>
              <w:bidi w:val="0"/>
              <w:spacing w:before="0" w:after="283"/>
              <w:jc w:val="left"/>
              <w:rPr>
                <w:b/>
              </w:rPr>
            </w:pPr>
            <w:r>
              <w:rPr>
                <w:b/>
              </w:rPr>
              <w:t>) </w:t>
            </w:r>
          </w:p>
        </w:tc>
      </w:tr>
      <w:tr>
        <w:trPr/>
        <w:tc>
          <w:tcPr>
            <w:tcW w:w="563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 and liabilities</w:t>
            </w:r>
          </w:p>
        </w:tc>
        <w:tc>
          <w:tcPr>
            <w:tcW w:w="46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b/>
              </w:rPr>
            </w:pPr>
            <w:r>
              <w:rPr>
                <w:b/>
              </w:rPr>
              <w:t>7,379</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b/>
              </w:rPr>
            </w:pPr>
            <w:r>
              <w:rPr>
                <w:b/>
              </w:rPr>
              <w:t>7,193</w:t>
            </w:r>
          </w:p>
        </w:tc>
        <w:tc>
          <w:tcPr>
            <w:tcW w:w="15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i/>
          <w:sz w:val="20"/>
        </w:rPr>
        <w:t>Figures may not sum to total due to rounding.</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943350" cy="4572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943350" cy="457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Grupo Aeroméxico, S.A.B. de C.V.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62"/>
        <w:gridCol w:w="161"/>
        <w:gridCol w:w="77"/>
        <w:gridCol w:w="765"/>
        <w:gridCol w:w="199"/>
        <w:gridCol w:w="127"/>
        <w:gridCol w:w="77"/>
        <w:gridCol w:w="592"/>
        <w:gridCol w:w="199"/>
        <w:gridCol w:w="126"/>
        <w:gridCol w:w="94"/>
        <w:gridCol w:w="766"/>
        <w:gridCol w:w="160"/>
      </w:tblGrid>
      <w:tr>
        <w:trPr/>
        <w:tc>
          <w:tcPr>
            <w:tcW w:w="6862"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6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02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0" w:type="dxa"/>
            <w:tcBorders/>
            <w:vAlign w:val="bottom"/>
          </w:tcPr>
          <w:p>
            <w:pPr>
              <w:pStyle w:val="TableContents"/>
              <w:bidi w:val="0"/>
              <w:spacing w:before="0" w:after="283"/>
              <w:jc w:val="left"/>
              <w:rPr/>
            </w:pPr>
            <w:r>
              <w:rPr/>
              <w:t> </w:t>
            </w:r>
          </w:p>
        </w:tc>
      </w:tr>
      <w:tr>
        <w:trPr/>
        <w:tc>
          <w:tcPr>
            <w:tcW w:w="686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02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(USD Millions)</w:t>
            </w:r>
          </w:p>
        </w:tc>
        <w:tc>
          <w:tcPr>
            <w:tcW w:w="160" w:type="dxa"/>
            <w:tcBorders/>
            <w:vAlign w:val="bottom"/>
          </w:tcPr>
          <w:p>
            <w:pPr>
              <w:pStyle w:val="TableContents"/>
              <w:bidi w:val="0"/>
              <w:spacing w:before="0" w:after="283"/>
              <w:jc w:val="left"/>
              <w:rPr/>
            </w:pPr>
            <w:r>
              <w:rPr/>
              <w:t> </w:t>
            </w:r>
          </w:p>
        </w:tc>
      </w:tr>
      <w:tr>
        <w:trPr/>
        <w:tc>
          <w:tcPr>
            <w:tcW w:w="686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9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9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160" w:type="dxa"/>
            <w:tcBorders/>
            <w:vAlign w:val="bottom"/>
          </w:tcPr>
          <w:p>
            <w:pPr>
              <w:pStyle w:val="TableContents"/>
              <w:bidi w:val="0"/>
              <w:spacing w:before="0" w:after="283"/>
              <w:jc w:val="left"/>
              <w:rPr/>
            </w:pPr>
            <w:r>
              <w:rPr/>
              <w:t> </w:t>
            </w:r>
          </w:p>
        </w:tc>
      </w:tr>
      <w:tr>
        <w:trPr/>
        <w:tc>
          <w:tcPr>
            <w:tcW w:w="68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 from operating activities:</w:t>
            </w:r>
          </w:p>
        </w:tc>
        <w:tc>
          <w:tcPr>
            <w:tcW w:w="16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592"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76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862" w:type="dxa"/>
            <w:tcBorders/>
          </w:tcPr>
          <w:p>
            <w:pPr>
              <w:pStyle w:val="TableContents"/>
              <w:bidi w:val="0"/>
              <w:spacing w:before="0" w:after="0"/>
              <w:jc w:val="left"/>
              <w:rPr>
                <w:rFonts w:ascii="Times New Roman" w:hAnsi="Times New Roman"/>
                <w:sz w:val="20"/>
              </w:rPr>
            </w:pPr>
            <w:r>
              <w:rPr>
                <w:rFonts w:ascii="Times New Roman" w:hAnsi="Times New Roman"/>
                <w:sz w:val="20"/>
              </w:rPr>
              <w:t>Income for the period</w:t>
            </w:r>
          </w:p>
        </w:tc>
        <w:tc>
          <w:tcPr>
            <w:tcW w:w="16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(47</w:t>
            </w:r>
          </w:p>
        </w:tc>
        <w:tc>
          <w:tcPr>
            <w:tcW w:w="19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90</w:t>
            </w:r>
          </w:p>
        </w:tc>
        <w:tc>
          <w:tcPr>
            <w:tcW w:w="19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(137</w:t>
            </w:r>
          </w:p>
        </w:tc>
        <w:tc>
          <w:tcPr>
            <w:tcW w:w="160" w:type="dxa"/>
            <w:tcBorders/>
            <w:vAlign w:val="bottom"/>
          </w:tcPr>
          <w:p>
            <w:pPr>
              <w:pStyle w:val="TableContents"/>
              <w:bidi w:val="0"/>
              <w:spacing w:before="0" w:after="283"/>
              <w:jc w:val="left"/>
              <w:rPr/>
            </w:pPr>
            <w:r>
              <w:rPr/>
              <w:t>) </w:t>
            </w:r>
          </w:p>
        </w:tc>
      </w:tr>
      <w:tr>
        <w:trPr/>
        <w:tc>
          <w:tcPr>
            <w:tcW w:w="68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6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(8</w:t>
            </w:r>
          </w:p>
        </w:tc>
        <w:tc>
          <w:tcPr>
            <w:tcW w:w="199"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22</w:t>
            </w:r>
          </w:p>
        </w:tc>
        <w:tc>
          <w:tcPr>
            <w:tcW w:w="19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(31</w:t>
            </w:r>
          </w:p>
        </w:tc>
        <w:tc>
          <w:tcPr>
            <w:tcW w:w="160" w:type="dxa"/>
            <w:tcBorders/>
            <w:shd w:fill="CCEEFF" w:val="clear"/>
            <w:vAlign w:val="bottom"/>
          </w:tcPr>
          <w:p>
            <w:pPr>
              <w:pStyle w:val="TableContents"/>
              <w:bidi w:val="0"/>
              <w:spacing w:before="0" w:after="283"/>
              <w:jc w:val="left"/>
              <w:rPr/>
            </w:pPr>
            <w:r>
              <w:rPr/>
              <w:t>) </w:t>
            </w:r>
          </w:p>
        </w:tc>
      </w:tr>
      <w:tr>
        <w:trPr/>
        <w:tc>
          <w:tcPr>
            <w:tcW w:w="686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6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382</w:t>
            </w:r>
          </w:p>
        </w:tc>
        <w:tc>
          <w:tcPr>
            <w:tcW w:w="19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353</w:t>
            </w:r>
          </w:p>
        </w:tc>
        <w:tc>
          <w:tcPr>
            <w:tcW w:w="19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30</w:t>
            </w:r>
          </w:p>
        </w:tc>
        <w:tc>
          <w:tcPr>
            <w:tcW w:w="160" w:type="dxa"/>
            <w:tcBorders/>
            <w:vAlign w:val="bottom"/>
          </w:tcPr>
          <w:p>
            <w:pPr>
              <w:pStyle w:val="TableContents"/>
              <w:bidi w:val="0"/>
              <w:spacing w:before="0" w:after="283"/>
              <w:jc w:val="left"/>
              <w:rPr/>
            </w:pPr>
            <w:r>
              <w:rPr/>
              <w:t> </w:t>
            </w:r>
          </w:p>
        </w:tc>
      </w:tr>
      <w:tr>
        <w:trPr/>
        <w:tc>
          <w:tcPr>
            <w:tcW w:w="68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non-cash adjustments</w:t>
            </w:r>
          </w:p>
        </w:tc>
        <w:tc>
          <w:tcPr>
            <w:tcW w:w="16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182</w:t>
            </w:r>
          </w:p>
        </w:tc>
        <w:tc>
          <w:tcPr>
            <w:tcW w:w="199"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186</w:t>
            </w:r>
          </w:p>
        </w:tc>
        <w:tc>
          <w:tcPr>
            <w:tcW w:w="19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(5</w:t>
            </w:r>
          </w:p>
        </w:tc>
        <w:tc>
          <w:tcPr>
            <w:tcW w:w="160" w:type="dxa"/>
            <w:tcBorders/>
            <w:shd w:fill="CCEEFF" w:val="clear"/>
            <w:vAlign w:val="bottom"/>
          </w:tcPr>
          <w:p>
            <w:pPr>
              <w:pStyle w:val="TableContents"/>
              <w:bidi w:val="0"/>
              <w:spacing w:before="0" w:after="283"/>
              <w:jc w:val="left"/>
              <w:rPr/>
            </w:pPr>
            <w:r>
              <w:rPr/>
              <w:t>) </w:t>
            </w:r>
          </w:p>
        </w:tc>
      </w:tr>
      <w:tr>
        <w:trPr/>
        <w:tc>
          <w:tcPr>
            <w:tcW w:w="6862"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b/>
              </w:rPr>
            </w:pPr>
            <w:r>
              <w:rPr>
                <w:b/>
              </w:rPr>
              <w:t>509</w:t>
            </w:r>
          </w:p>
        </w:tc>
        <w:tc>
          <w:tcPr>
            <w:tcW w:w="19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b/>
              </w:rPr>
            </w:pPr>
            <w:r>
              <w:rPr>
                <w:b/>
              </w:rPr>
              <w:t>652</w:t>
            </w:r>
          </w:p>
        </w:tc>
        <w:tc>
          <w:tcPr>
            <w:tcW w:w="19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b/>
              </w:rPr>
            </w:pPr>
            <w:r>
              <w:rPr>
                <w:b/>
              </w:rPr>
              <w:t>(143</w:t>
            </w:r>
          </w:p>
        </w:tc>
        <w:tc>
          <w:tcPr>
            <w:tcW w:w="160" w:type="dxa"/>
            <w:tcBorders/>
            <w:vAlign w:val="bottom"/>
          </w:tcPr>
          <w:p>
            <w:pPr>
              <w:pStyle w:val="TableContents"/>
              <w:bidi w:val="0"/>
              <w:spacing w:before="0" w:after="283"/>
              <w:jc w:val="left"/>
              <w:rPr>
                <w:b/>
              </w:rPr>
            </w:pPr>
            <w:r>
              <w:rPr>
                <w:b/>
              </w:rPr>
              <w:t>) </w:t>
            </w:r>
          </w:p>
        </w:tc>
      </w:tr>
      <w:tr>
        <w:trPr/>
        <w:tc>
          <w:tcPr>
            <w:tcW w:w="68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current assets &amp; liabilities, net</w:t>
            </w:r>
          </w:p>
        </w:tc>
        <w:tc>
          <w:tcPr>
            <w:tcW w:w="16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(146</w:t>
            </w:r>
          </w:p>
        </w:tc>
        <w:tc>
          <w:tcPr>
            <w:tcW w:w="199"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(303</w:t>
            </w:r>
          </w:p>
        </w:tc>
        <w:tc>
          <w:tcPr>
            <w:tcW w:w="19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157</w:t>
            </w:r>
          </w:p>
        </w:tc>
        <w:tc>
          <w:tcPr>
            <w:tcW w:w="160" w:type="dxa"/>
            <w:tcBorders/>
            <w:shd w:fill="CCEEFF" w:val="clear"/>
            <w:vAlign w:val="bottom"/>
          </w:tcPr>
          <w:p>
            <w:pPr>
              <w:pStyle w:val="TableContents"/>
              <w:bidi w:val="0"/>
              <w:spacing w:before="0" w:after="283"/>
              <w:jc w:val="left"/>
              <w:rPr/>
            </w:pPr>
            <w:r>
              <w:rPr/>
              <w:t> </w:t>
            </w:r>
          </w:p>
        </w:tc>
      </w:tr>
      <w:tr>
        <w:trPr/>
        <w:tc>
          <w:tcPr>
            <w:tcW w:w="6862" w:type="dxa"/>
            <w:tcBorders/>
          </w:tcPr>
          <w:p>
            <w:pPr>
              <w:pStyle w:val="TableContents"/>
              <w:bidi w:val="0"/>
              <w:spacing w:before="0" w:after="0"/>
              <w:jc w:val="left"/>
              <w:rPr>
                <w:rFonts w:ascii="Times New Roman" w:hAnsi="Times New Roman"/>
                <w:sz w:val="20"/>
              </w:rPr>
            </w:pPr>
            <w:r>
              <w:rPr>
                <w:rFonts w:ascii="Times New Roman" w:hAnsi="Times New Roman"/>
                <w:sz w:val="20"/>
              </w:rPr>
              <w:t>Trade and other receivables</w:t>
            </w:r>
          </w:p>
        </w:tc>
        <w:tc>
          <w:tcPr>
            <w:tcW w:w="16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(22</w:t>
            </w:r>
          </w:p>
        </w:tc>
        <w:tc>
          <w:tcPr>
            <w:tcW w:w="19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2</w:t>
            </w:r>
          </w:p>
        </w:tc>
        <w:tc>
          <w:tcPr>
            <w:tcW w:w="19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(24</w:t>
            </w:r>
          </w:p>
        </w:tc>
        <w:tc>
          <w:tcPr>
            <w:tcW w:w="160" w:type="dxa"/>
            <w:tcBorders/>
            <w:vAlign w:val="bottom"/>
          </w:tcPr>
          <w:p>
            <w:pPr>
              <w:pStyle w:val="TableContents"/>
              <w:bidi w:val="0"/>
              <w:spacing w:before="0" w:after="283"/>
              <w:jc w:val="left"/>
              <w:rPr/>
            </w:pPr>
            <w:r>
              <w:rPr/>
              <w:t>) </w:t>
            </w:r>
          </w:p>
        </w:tc>
      </w:tr>
      <w:tr>
        <w:trPr/>
        <w:tc>
          <w:tcPr>
            <w:tcW w:w="68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and other payables</w:t>
            </w:r>
          </w:p>
        </w:tc>
        <w:tc>
          <w:tcPr>
            <w:tcW w:w="16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(59</w:t>
            </w:r>
          </w:p>
        </w:tc>
        <w:tc>
          <w:tcPr>
            <w:tcW w:w="199"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(202</w:t>
            </w:r>
          </w:p>
        </w:tc>
        <w:tc>
          <w:tcPr>
            <w:tcW w:w="19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142</w:t>
            </w:r>
          </w:p>
        </w:tc>
        <w:tc>
          <w:tcPr>
            <w:tcW w:w="160" w:type="dxa"/>
            <w:tcBorders/>
            <w:shd w:fill="CCEEFF" w:val="clear"/>
            <w:vAlign w:val="bottom"/>
          </w:tcPr>
          <w:p>
            <w:pPr>
              <w:pStyle w:val="TableContents"/>
              <w:bidi w:val="0"/>
              <w:spacing w:before="0" w:after="283"/>
              <w:jc w:val="left"/>
              <w:rPr/>
            </w:pPr>
            <w:r>
              <w:rPr/>
              <w:t> </w:t>
            </w:r>
          </w:p>
        </w:tc>
      </w:tr>
      <w:tr>
        <w:trPr/>
        <w:tc>
          <w:tcPr>
            <w:tcW w:w="6862" w:type="dxa"/>
            <w:tcBorders/>
          </w:tcPr>
          <w:p>
            <w:pPr>
              <w:pStyle w:val="TableContents"/>
              <w:bidi w:val="0"/>
              <w:spacing w:before="0" w:after="0"/>
              <w:jc w:val="left"/>
              <w:rPr>
                <w:rFonts w:ascii="Times New Roman" w:hAnsi="Times New Roman"/>
                <w:sz w:val="20"/>
              </w:rPr>
            </w:pPr>
            <w:r>
              <w:rPr>
                <w:rFonts w:ascii="Times New Roman" w:hAnsi="Times New Roman"/>
                <w:sz w:val="20"/>
              </w:rPr>
              <w:t>Air traffic liability</w:t>
            </w:r>
          </w:p>
        </w:tc>
        <w:tc>
          <w:tcPr>
            <w:tcW w:w="16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119</w:t>
            </w:r>
          </w:p>
        </w:tc>
        <w:tc>
          <w:tcPr>
            <w:tcW w:w="19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81</w:t>
            </w:r>
          </w:p>
        </w:tc>
        <w:tc>
          <w:tcPr>
            <w:tcW w:w="19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37</w:t>
            </w:r>
          </w:p>
        </w:tc>
        <w:tc>
          <w:tcPr>
            <w:tcW w:w="160" w:type="dxa"/>
            <w:tcBorders/>
            <w:vAlign w:val="bottom"/>
          </w:tcPr>
          <w:p>
            <w:pPr>
              <w:pStyle w:val="TableContents"/>
              <w:bidi w:val="0"/>
              <w:spacing w:before="0" w:after="283"/>
              <w:jc w:val="left"/>
              <w:rPr/>
            </w:pPr>
            <w:r>
              <w:rPr/>
              <w:t> </w:t>
            </w:r>
          </w:p>
        </w:tc>
      </w:tr>
      <w:tr>
        <w:trPr/>
        <w:tc>
          <w:tcPr>
            <w:tcW w:w="68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16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(7</w:t>
            </w:r>
          </w:p>
        </w:tc>
        <w:tc>
          <w:tcPr>
            <w:tcW w:w="199"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(27</w:t>
            </w:r>
          </w:p>
        </w:tc>
        <w:tc>
          <w:tcPr>
            <w:tcW w:w="19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19</w:t>
            </w:r>
          </w:p>
        </w:tc>
        <w:tc>
          <w:tcPr>
            <w:tcW w:w="160" w:type="dxa"/>
            <w:tcBorders/>
            <w:shd w:fill="CCEEFF" w:val="clear"/>
            <w:vAlign w:val="bottom"/>
          </w:tcPr>
          <w:p>
            <w:pPr>
              <w:pStyle w:val="TableContents"/>
              <w:bidi w:val="0"/>
              <w:spacing w:before="0" w:after="283"/>
              <w:jc w:val="left"/>
              <w:rPr/>
            </w:pPr>
            <w:r>
              <w:rPr/>
              <w:t> </w:t>
            </w:r>
          </w:p>
        </w:tc>
      </w:tr>
      <w:tr>
        <w:trPr/>
        <w:tc>
          <w:tcPr>
            <w:tcW w:w="6862" w:type="dxa"/>
            <w:tcBorders/>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16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(177</w:t>
            </w:r>
          </w:p>
        </w:tc>
        <w:tc>
          <w:tcPr>
            <w:tcW w:w="19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(158</w:t>
            </w:r>
          </w:p>
        </w:tc>
        <w:tc>
          <w:tcPr>
            <w:tcW w:w="19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(19</w:t>
            </w:r>
          </w:p>
        </w:tc>
        <w:tc>
          <w:tcPr>
            <w:tcW w:w="160" w:type="dxa"/>
            <w:tcBorders/>
            <w:vAlign w:val="bottom"/>
          </w:tcPr>
          <w:p>
            <w:pPr>
              <w:pStyle w:val="TableContents"/>
              <w:bidi w:val="0"/>
              <w:spacing w:before="0" w:after="283"/>
              <w:jc w:val="left"/>
              <w:rPr/>
            </w:pPr>
            <w:r>
              <w:rPr/>
              <w:t>) </w:t>
            </w:r>
          </w:p>
        </w:tc>
      </w:tr>
      <w:tr>
        <w:trPr/>
        <w:tc>
          <w:tcPr>
            <w:tcW w:w="68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from operating activities</w:t>
            </w:r>
          </w:p>
        </w:tc>
        <w:tc>
          <w:tcPr>
            <w:tcW w:w="16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b/>
              </w:rPr>
            </w:pPr>
            <w:r>
              <w:rPr>
                <w:b/>
              </w:rPr>
              <w:t>362</w:t>
            </w:r>
          </w:p>
        </w:tc>
        <w:tc>
          <w:tcPr>
            <w:tcW w:w="199"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b/>
              </w:rPr>
            </w:pPr>
            <w:r>
              <w:rPr>
                <w:b/>
              </w:rPr>
              <w:t>349</w:t>
            </w:r>
          </w:p>
        </w:tc>
        <w:tc>
          <w:tcPr>
            <w:tcW w:w="19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b/>
              </w:rPr>
            </w:pPr>
            <w:r>
              <w:rPr>
                <w:b/>
              </w:rPr>
              <w:t>14</w:t>
            </w:r>
          </w:p>
        </w:tc>
        <w:tc>
          <w:tcPr>
            <w:tcW w:w="160" w:type="dxa"/>
            <w:tcBorders/>
            <w:shd w:fill="CCEEFF" w:val="clear"/>
            <w:vAlign w:val="bottom"/>
          </w:tcPr>
          <w:p>
            <w:pPr>
              <w:pStyle w:val="TableContents"/>
              <w:bidi w:val="0"/>
              <w:spacing w:before="0" w:after="283"/>
              <w:jc w:val="left"/>
              <w:rPr/>
            </w:pPr>
            <w:r>
              <w:rPr/>
              <w:t> </w:t>
            </w:r>
          </w:p>
        </w:tc>
      </w:tr>
      <w:tr>
        <w:trPr/>
        <w:tc>
          <w:tcPr>
            <w:tcW w:w="6862"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 from investing activities:</w:t>
            </w:r>
          </w:p>
        </w:tc>
        <w:tc>
          <w:tcPr>
            <w:tcW w:w="16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765"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592"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8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of properties and equipment (including major maintenance)</w:t>
            </w:r>
          </w:p>
        </w:tc>
        <w:tc>
          <w:tcPr>
            <w:tcW w:w="16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(134</w:t>
            </w:r>
          </w:p>
        </w:tc>
        <w:tc>
          <w:tcPr>
            <w:tcW w:w="199"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(116</w:t>
            </w:r>
          </w:p>
        </w:tc>
        <w:tc>
          <w:tcPr>
            <w:tcW w:w="19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(18</w:t>
            </w:r>
          </w:p>
        </w:tc>
        <w:tc>
          <w:tcPr>
            <w:tcW w:w="160" w:type="dxa"/>
            <w:tcBorders/>
            <w:shd w:fill="CCEEFF" w:val="clear"/>
            <w:vAlign w:val="bottom"/>
          </w:tcPr>
          <w:p>
            <w:pPr>
              <w:pStyle w:val="TableContents"/>
              <w:bidi w:val="0"/>
              <w:spacing w:before="0" w:after="283"/>
              <w:jc w:val="left"/>
              <w:rPr/>
            </w:pPr>
            <w:r>
              <w:rPr/>
              <w:t>) </w:t>
            </w:r>
          </w:p>
        </w:tc>
      </w:tr>
      <w:tr>
        <w:trPr/>
        <w:tc>
          <w:tcPr>
            <w:tcW w:w="6862" w:type="dxa"/>
            <w:tcBorders/>
          </w:tcPr>
          <w:p>
            <w:pPr>
              <w:pStyle w:val="TableContents"/>
              <w:bidi w:val="0"/>
              <w:spacing w:before="0" w:after="0"/>
              <w:jc w:val="left"/>
              <w:rPr>
                <w:rFonts w:ascii="Times New Roman" w:hAnsi="Times New Roman"/>
                <w:sz w:val="20"/>
              </w:rPr>
            </w:pPr>
            <w:r>
              <w:rPr>
                <w:rFonts w:ascii="Times New Roman" w:hAnsi="Times New Roman"/>
                <w:sz w:val="20"/>
              </w:rPr>
              <w:t>Other investing activities, net</w:t>
            </w:r>
          </w:p>
        </w:tc>
        <w:tc>
          <w:tcPr>
            <w:tcW w:w="16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(6</w:t>
            </w:r>
          </w:p>
        </w:tc>
        <w:tc>
          <w:tcPr>
            <w:tcW w:w="19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17</w:t>
            </w:r>
          </w:p>
        </w:tc>
        <w:tc>
          <w:tcPr>
            <w:tcW w:w="19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(24</w:t>
            </w:r>
          </w:p>
        </w:tc>
        <w:tc>
          <w:tcPr>
            <w:tcW w:w="160" w:type="dxa"/>
            <w:tcBorders/>
            <w:vAlign w:val="bottom"/>
          </w:tcPr>
          <w:p>
            <w:pPr>
              <w:pStyle w:val="TableContents"/>
              <w:bidi w:val="0"/>
              <w:spacing w:before="0" w:after="283"/>
              <w:jc w:val="left"/>
              <w:rPr/>
            </w:pPr>
            <w:r>
              <w:rPr/>
              <w:t>) </w:t>
            </w:r>
          </w:p>
        </w:tc>
      </w:tr>
      <w:tr>
        <w:trPr/>
        <w:tc>
          <w:tcPr>
            <w:tcW w:w="686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16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b/>
              </w:rPr>
            </w:pPr>
            <w:r>
              <w:rPr>
                <w:b/>
              </w:rPr>
              <w:t>(141</w:t>
            </w:r>
          </w:p>
        </w:tc>
        <w:tc>
          <w:tcPr>
            <w:tcW w:w="199" w:type="dxa"/>
            <w:tcBorders/>
            <w:shd w:fill="CCEEFF" w:val="clear"/>
            <w:vAlign w:val="bottom"/>
          </w:tcPr>
          <w:p>
            <w:pPr>
              <w:pStyle w:val="TableContents"/>
              <w:bidi w:val="0"/>
              <w:spacing w:before="0" w:after="283"/>
              <w:jc w:val="left"/>
              <w:rPr>
                <w:b/>
              </w:rPr>
            </w:pPr>
            <w:r>
              <w:rPr>
                <w:b/>
              </w:rPr>
              <w:t>) </w:t>
            </w:r>
          </w:p>
        </w:tc>
        <w:tc>
          <w:tcPr>
            <w:tcW w:w="12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b/>
              </w:rPr>
            </w:pPr>
            <w:r>
              <w:rPr>
                <w:b/>
              </w:rPr>
              <w:t>(99</w:t>
            </w:r>
          </w:p>
        </w:tc>
        <w:tc>
          <w:tcPr>
            <w:tcW w:w="199" w:type="dxa"/>
            <w:tcBorders/>
            <w:shd w:fill="CCEEFF" w:val="clear"/>
            <w:vAlign w:val="bottom"/>
          </w:tcPr>
          <w:p>
            <w:pPr>
              <w:pStyle w:val="TableContents"/>
              <w:bidi w:val="0"/>
              <w:spacing w:before="0" w:after="283"/>
              <w:jc w:val="left"/>
              <w:rPr>
                <w:b/>
              </w:rPr>
            </w:pPr>
            <w:r>
              <w:rPr>
                <w:b/>
              </w:rPr>
              <w:t>) </w:t>
            </w:r>
          </w:p>
        </w:tc>
        <w:tc>
          <w:tcPr>
            <w:tcW w:w="12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b/>
              </w:rPr>
            </w:pPr>
            <w:r>
              <w:rPr>
                <w:b/>
              </w:rPr>
              <w:t>(42</w:t>
            </w:r>
          </w:p>
        </w:tc>
        <w:tc>
          <w:tcPr>
            <w:tcW w:w="160" w:type="dxa"/>
            <w:tcBorders/>
            <w:shd w:fill="CCEEFF" w:val="clear"/>
            <w:vAlign w:val="bottom"/>
          </w:tcPr>
          <w:p>
            <w:pPr>
              <w:pStyle w:val="TableContents"/>
              <w:bidi w:val="0"/>
              <w:spacing w:before="0" w:after="283"/>
              <w:jc w:val="left"/>
              <w:rPr>
                <w:b/>
              </w:rPr>
            </w:pPr>
            <w:r>
              <w:rPr>
                <w:b/>
              </w:rPr>
              <w:t>) </w:t>
            </w:r>
          </w:p>
        </w:tc>
      </w:tr>
      <w:tr>
        <w:trPr/>
        <w:tc>
          <w:tcPr>
            <w:tcW w:w="6862"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 from financing activities:</w:t>
            </w:r>
          </w:p>
        </w:tc>
        <w:tc>
          <w:tcPr>
            <w:tcW w:w="16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765"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592"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8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lease liabilities</w:t>
            </w:r>
          </w:p>
        </w:tc>
        <w:tc>
          <w:tcPr>
            <w:tcW w:w="16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(202</w:t>
            </w:r>
          </w:p>
        </w:tc>
        <w:tc>
          <w:tcPr>
            <w:tcW w:w="199"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(175</w:t>
            </w:r>
          </w:p>
        </w:tc>
        <w:tc>
          <w:tcPr>
            <w:tcW w:w="19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(26</w:t>
            </w:r>
          </w:p>
        </w:tc>
        <w:tc>
          <w:tcPr>
            <w:tcW w:w="160" w:type="dxa"/>
            <w:tcBorders/>
            <w:shd w:fill="CCEEFF" w:val="clear"/>
            <w:vAlign w:val="bottom"/>
          </w:tcPr>
          <w:p>
            <w:pPr>
              <w:pStyle w:val="TableContents"/>
              <w:bidi w:val="0"/>
              <w:spacing w:before="0" w:after="283"/>
              <w:jc w:val="left"/>
              <w:rPr/>
            </w:pPr>
            <w:r>
              <w:rPr/>
              <w:t>) </w:t>
            </w:r>
          </w:p>
        </w:tc>
      </w:tr>
      <w:tr>
        <w:trPr/>
        <w:tc>
          <w:tcPr>
            <w:tcW w:w="6862"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loans</w:t>
            </w:r>
          </w:p>
        </w:tc>
        <w:tc>
          <w:tcPr>
            <w:tcW w:w="16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(17</w:t>
            </w:r>
          </w:p>
        </w:tc>
        <w:tc>
          <w:tcPr>
            <w:tcW w:w="19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(45</w:t>
            </w:r>
          </w:p>
        </w:tc>
        <w:tc>
          <w:tcPr>
            <w:tcW w:w="19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28</w:t>
            </w:r>
          </w:p>
        </w:tc>
        <w:tc>
          <w:tcPr>
            <w:tcW w:w="160" w:type="dxa"/>
            <w:tcBorders/>
            <w:vAlign w:val="bottom"/>
          </w:tcPr>
          <w:p>
            <w:pPr>
              <w:pStyle w:val="TableContents"/>
              <w:bidi w:val="0"/>
              <w:spacing w:before="0" w:after="283"/>
              <w:jc w:val="left"/>
              <w:rPr/>
            </w:pPr>
            <w:r>
              <w:rPr/>
              <w:t> </w:t>
            </w:r>
          </w:p>
        </w:tc>
      </w:tr>
      <w:tr>
        <w:trPr/>
        <w:tc>
          <w:tcPr>
            <w:tcW w:w="68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financing activities, net</w:t>
            </w:r>
          </w:p>
        </w:tc>
        <w:tc>
          <w:tcPr>
            <w:tcW w:w="16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25</w:t>
            </w:r>
          </w:p>
        </w:tc>
        <w:tc>
          <w:tcPr>
            <w:tcW w:w="19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(25</w:t>
            </w:r>
          </w:p>
        </w:tc>
        <w:tc>
          <w:tcPr>
            <w:tcW w:w="160" w:type="dxa"/>
            <w:tcBorders/>
            <w:shd w:fill="CCEEFF" w:val="clear"/>
            <w:vAlign w:val="bottom"/>
          </w:tcPr>
          <w:p>
            <w:pPr>
              <w:pStyle w:val="TableContents"/>
              <w:bidi w:val="0"/>
              <w:spacing w:before="0" w:after="283"/>
              <w:jc w:val="left"/>
              <w:rPr/>
            </w:pPr>
            <w:r>
              <w:rPr/>
              <w:t>) </w:t>
            </w:r>
          </w:p>
        </w:tc>
      </w:tr>
      <w:tr>
        <w:trPr/>
        <w:tc>
          <w:tcPr>
            <w:tcW w:w="6862"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financing activities</w:t>
            </w:r>
          </w:p>
        </w:tc>
        <w:tc>
          <w:tcPr>
            <w:tcW w:w="16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b/>
              </w:rPr>
            </w:pPr>
            <w:r>
              <w:rPr>
                <w:b/>
              </w:rPr>
              <w:t>(219</w:t>
            </w:r>
          </w:p>
        </w:tc>
        <w:tc>
          <w:tcPr>
            <w:tcW w:w="199" w:type="dxa"/>
            <w:tcBorders/>
            <w:vAlign w:val="bottom"/>
          </w:tcPr>
          <w:p>
            <w:pPr>
              <w:pStyle w:val="TableContents"/>
              <w:bidi w:val="0"/>
              <w:spacing w:before="0" w:after="283"/>
              <w:jc w:val="left"/>
              <w:rPr>
                <w:b/>
              </w:rPr>
            </w:pPr>
            <w:r>
              <w:rPr>
                <w:b/>
              </w:rPr>
              <w:t>) </w:t>
            </w:r>
          </w:p>
        </w:tc>
        <w:tc>
          <w:tcPr>
            <w:tcW w:w="12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b/>
              </w:rPr>
            </w:pPr>
            <w:r>
              <w:rPr>
                <w:b/>
              </w:rPr>
              <w:t>(195</w:t>
            </w:r>
          </w:p>
        </w:tc>
        <w:tc>
          <w:tcPr>
            <w:tcW w:w="199" w:type="dxa"/>
            <w:tcBorders/>
            <w:vAlign w:val="bottom"/>
          </w:tcPr>
          <w:p>
            <w:pPr>
              <w:pStyle w:val="TableContents"/>
              <w:bidi w:val="0"/>
              <w:spacing w:before="0" w:after="283"/>
              <w:jc w:val="left"/>
              <w:rPr>
                <w:b/>
              </w:rPr>
            </w:pPr>
            <w:r>
              <w:rPr>
                <w:b/>
              </w:rPr>
              <w:t>) </w:t>
            </w:r>
          </w:p>
        </w:tc>
        <w:tc>
          <w:tcPr>
            <w:tcW w:w="12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b/>
              </w:rPr>
            </w:pPr>
            <w:r>
              <w:rPr>
                <w:b/>
              </w:rPr>
              <w:t>(24</w:t>
            </w:r>
          </w:p>
        </w:tc>
        <w:tc>
          <w:tcPr>
            <w:tcW w:w="160" w:type="dxa"/>
            <w:tcBorders/>
            <w:vAlign w:val="bottom"/>
          </w:tcPr>
          <w:p>
            <w:pPr>
              <w:pStyle w:val="TableContents"/>
              <w:bidi w:val="0"/>
              <w:spacing w:before="0" w:after="283"/>
              <w:jc w:val="left"/>
              <w:rPr>
                <w:b/>
              </w:rPr>
            </w:pPr>
            <w:r>
              <w:rPr>
                <w:b/>
              </w:rPr>
              <w:t>) </w:t>
            </w:r>
          </w:p>
        </w:tc>
      </w:tr>
      <w:tr>
        <w:trPr/>
        <w:tc>
          <w:tcPr>
            <w:tcW w:w="68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fluctuations on cash held</w:t>
            </w:r>
          </w:p>
        </w:tc>
        <w:tc>
          <w:tcPr>
            <w:tcW w:w="16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9</w:t>
            </w:r>
          </w:p>
        </w:tc>
        <w:tc>
          <w:tcPr>
            <w:tcW w:w="199"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25</w:t>
            </w:r>
          </w:p>
        </w:tc>
        <w:tc>
          <w:tcPr>
            <w:tcW w:w="19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(16</w:t>
            </w:r>
          </w:p>
        </w:tc>
        <w:tc>
          <w:tcPr>
            <w:tcW w:w="160" w:type="dxa"/>
            <w:tcBorders/>
            <w:shd w:fill="CCEEFF" w:val="clear"/>
            <w:vAlign w:val="bottom"/>
          </w:tcPr>
          <w:p>
            <w:pPr>
              <w:pStyle w:val="TableContents"/>
              <w:bidi w:val="0"/>
              <w:spacing w:before="0" w:after="283"/>
              <w:jc w:val="left"/>
              <w:rPr/>
            </w:pPr>
            <w:r>
              <w:rPr/>
              <w:t>) </w:t>
            </w:r>
          </w:p>
        </w:tc>
      </w:tr>
      <w:tr>
        <w:trPr/>
        <w:tc>
          <w:tcPr>
            <w:tcW w:w="6862"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increase (decrease) in cash and cash equivalents</w:t>
            </w:r>
          </w:p>
        </w:tc>
        <w:tc>
          <w:tcPr>
            <w:tcW w:w="16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b/>
              </w:rPr>
            </w:pPr>
            <w:r>
              <w:rPr>
                <w:b/>
              </w:rPr>
              <w:t>13</w:t>
            </w:r>
          </w:p>
        </w:tc>
        <w:tc>
          <w:tcPr>
            <w:tcW w:w="19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b/>
              </w:rPr>
            </w:pPr>
            <w:r>
              <w:rPr>
                <w:b/>
              </w:rPr>
              <w:t>80</w:t>
            </w:r>
          </w:p>
        </w:tc>
        <w:tc>
          <w:tcPr>
            <w:tcW w:w="19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b/>
              </w:rPr>
            </w:pPr>
            <w:r>
              <w:rPr>
                <w:b/>
              </w:rPr>
              <w:t>(68</w:t>
            </w:r>
          </w:p>
        </w:tc>
        <w:tc>
          <w:tcPr>
            <w:tcW w:w="160" w:type="dxa"/>
            <w:tcBorders/>
            <w:vAlign w:val="bottom"/>
          </w:tcPr>
          <w:p>
            <w:pPr>
              <w:pStyle w:val="TableContents"/>
              <w:bidi w:val="0"/>
              <w:spacing w:before="0" w:after="283"/>
              <w:jc w:val="left"/>
              <w:rPr>
                <w:b/>
              </w:rPr>
            </w:pPr>
            <w:r>
              <w:rPr>
                <w:b/>
              </w:rPr>
              <w:t>) </w:t>
            </w:r>
          </w:p>
        </w:tc>
      </w:tr>
      <w:tr>
        <w:trPr/>
        <w:tc>
          <w:tcPr>
            <w:tcW w:w="68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w:t>
            </w:r>
          </w:p>
        </w:tc>
        <w:tc>
          <w:tcPr>
            <w:tcW w:w="16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592"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76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862" w:type="dxa"/>
            <w:tcBorders/>
          </w:tcPr>
          <w:p>
            <w:pPr>
              <w:pStyle w:val="TableContents"/>
              <w:bidi w:val="0"/>
              <w:spacing w:before="0" w:after="0"/>
              <w:jc w:val="left"/>
              <w:rPr>
                <w:rFonts w:ascii="Times New Roman" w:hAnsi="Times New Roman"/>
                <w:sz w:val="20"/>
              </w:rPr>
            </w:pPr>
            <w:r>
              <w:rPr>
                <w:rFonts w:ascii="Times New Roman" w:hAnsi="Times New Roman"/>
                <w:sz w:val="20"/>
              </w:rPr>
              <w:t>At beginning of the period</w:t>
            </w:r>
          </w:p>
        </w:tc>
        <w:tc>
          <w:tcPr>
            <w:tcW w:w="16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1,024</w:t>
            </w:r>
          </w:p>
        </w:tc>
        <w:tc>
          <w:tcPr>
            <w:tcW w:w="19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842</w:t>
            </w:r>
          </w:p>
        </w:tc>
        <w:tc>
          <w:tcPr>
            <w:tcW w:w="19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182</w:t>
            </w:r>
          </w:p>
        </w:tc>
        <w:tc>
          <w:tcPr>
            <w:tcW w:w="160" w:type="dxa"/>
            <w:tcBorders/>
            <w:vAlign w:val="bottom"/>
          </w:tcPr>
          <w:p>
            <w:pPr>
              <w:pStyle w:val="TableContents"/>
              <w:bidi w:val="0"/>
              <w:spacing w:before="0" w:after="283"/>
              <w:jc w:val="left"/>
              <w:rPr/>
            </w:pPr>
            <w:r>
              <w:rPr/>
              <w:t> </w:t>
            </w:r>
          </w:p>
        </w:tc>
      </w:tr>
      <w:tr>
        <w:trPr/>
        <w:tc>
          <w:tcPr>
            <w:tcW w:w="68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end of the period</w:t>
            </w:r>
          </w:p>
        </w:tc>
        <w:tc>
          <w:tcPr>
            <w:tcW w:w="16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1,037</w:t>
            </w:r>
          </w:p>
        </w:tc>
        <w:tc>
          <w:tcPr>
            <w:tcW w:w="199"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922</w:t>
            </w:r>
          </w:p>
        </w:tc>
        <w:tc>
          <w:tcPr>
            <w:tcW w:w="19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114</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Figures may not sum to total due to rounding. </w:t>
      </w:r>
    </w:p>
    <w:p>
      <w:pPr>
        <w:pStyle w:val="TextBody"/>
        <w:bidi w:val="0"/>
        <w:spacing w:before="12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943350" cy="4572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943350" cy="457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AND OPERATIONAL INDICATORS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93"/>
        <w:gridCol w:w="130"/>
        <w:gridCol w:w="60"/>
        <w:gridCol w:w="812"/>
        <w:gridCol w:w="278"/>
        <w:gridCol w:w="73"/>
        <w:gridCol w:w="60"/>
        <w:gridCol w:w="812"/>
        <w:gridCol w:w="278"/>
        <w:gridCol w:w="73"/>
        <w:gridCol w:w="60"/>
        <w:gridCol w:w="957"/>
        <w:gridCol w:w="349"/>
        <w:gridCol w:w="73"/>
        <w:gridCol w:w="60"/>
        <w:gridCol w:w="812"/>
        <w:gridCol w:w="278"/>
        <w:gridCol w:w="73"/>
        <w:gridCol w:w="60"/>
        <w:gridCol w:w="812"/>
        <w:gridCol w:w="278"/>
        <w:gridCol w:w="73"/>
        <w:gridCol w:w="60"/>
        <w:gridCol w:w="827"/>
        <w:gridCol w:w="364"/>
      </w:tblGrid>
      <w:tr>
        <w:trPr/>
        <w:tc>
          <w:tcPr>
            <w:tcW w:w="249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49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46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34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333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364" w:type="dxa"/>
            <w:tcBorders/>
            <w:vAlign w:val="bottom"/>
          </w:tcPr>
          <w:p>
            <w:pPr>
              <w:pStyle w:val="TableContents"/>
              <w:bidi w:val="0"/>
              <w:spacing w:before="0" w:after="283"/>
              <w:jc w:val="left"/>
              <w:rPr/>
            </w:pPr>
            <w:r>
              <w:rPr/>
              <w:t> </w:t>
            </w:r>
          </w:p>
        </w:tc>
      </w:tr>
      <w:tr>
        <w:trPr/>
        <w:tc>
          <w:tcPr>
            <w:tcW w:w="249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Financial Indicators</w:t>
            </w:r>
          </w:p>
        </w:tc>
        <w:tc>
          <w:tcPr>
            <w:tcW w:w="130"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w:t>
            </w:r>
          </w:p>
        </w:tc>
        <w:tc>
          <w:tcPr>
            <w:tcW w:w="34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w:t>
            </w:r>
          </w:p>
        </w:tc>
        <w:tc>
          <w:tcPr>
            <w:tcW w:w="364" w:type="dxa"/>
            <w:tcBorders/>
            <w:vAlign w:val="bottom"/>
          </w:tcPr>
          <w:p>
            <w:pPr>
              <w:pStyle w:val="TableContents"/>
              <w:bidi w:val="0"/>
              <w:spacing w:before="0" w:after="283"/>
              <w:jc w:val="left"/>
              <w:rPr/>
            </w:pPr>
            <w:r>
              <w:rPr/>
              <w:t> </w:t>
            </w:r>
          </w:p>
        </w:tc>
      </w:tr>
      <w:tr>
        <w:trPr/>
        <w:tc>
          <w:tcPr>
            <w:tcW w:w="24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1,479</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1,314</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12.6</w:t>
            </w:r>
          </w:p>
        </w:tc>
        <w:tc>
          <w:tcPr>
            <w:tcW w:w="349"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2,821</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2,498</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12.9</w:t>
            </w:r>
          </w:p>
        </w:tc>
        <w:tc>
          <w:tcPr>
            <w:tcW w:w="364" w:type="dxa"/>
            <w:tcBorders/>
            <w:shd w:fill="CCEEFF" w:val="clear"/>
            <w:vAlign w:val="bottom"/>
          </w:tcPr>
          <w:p>
            <w:pPr>
              <w:pStyle w:val="TableContents"/>
              <w:bidi w:val="0"/>
              <w:spacing w:before="0" w:after="283"/>
              <w:jc w:val="left"/>
              <w:rPr/>
            </w:pPr>
            <w:r>
              <w:rPr/>
              <w:t>% </w:t>
            </w:r>
          </w:p>
        </w:tc>
      </w:tr>
      <w:tr>
        <w:trPr/>
        <w:tc>
          <w:tcPr>
            <w:tcW w:w="2493" w:type="dxa"/>
            <w:tcBorders/>
          </w:tcPr>
          <w:p>
            <w:pPr>
              <w:pStyle w:val="TableContents"/>
              <w:bidi w:val="0"/>
              <w:spacing w:before="0" w:after="0"/>
              <w:jc w:val="left"/>
              <w:rPr>
                <w:rFonts w:ascii="Times New Roman" w:hAnsi="Times New Roman"/>
                <w:sz w:val="20"/>
              </w:rPr>
            </w:pPr>
            <w:r>
              <w:rPr>
                <w:rFonts w:ascii="Times New Roman" w:hAnsi="Times New Roman"/>
                <w:sz w:val="20"/>
              </w:rPr>
              <w:t>Passenger revenue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1,309</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1,186</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10.4</w:t>
            </w:r>
          </w:p>
        </w:tc>
        <w:tc>
          <w:tcPr>
            <w:tcW w:w="34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2,521</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2,258</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11.6</w:t>
            </w:r>
          </w:p>
        </w:tc>
        <w:tc>
          <w:tcPr>
            <w:tcW w:w="364" w:type="dxa"/>
            <w:tcBorders/>
            <w:vAlign w:val="bottom"/>
          </w:tcPr>
          <w:p>
            <w:pPr>
              <w:pStyle w:val="TableContents"/>
              <w:bidi w:val="0"/>
              <w:spacing w:before="0" w:after="283"/>
              <w:jc w:val="left"/>
              <w:rPr/>
            </w:pPr>
            <w:r>
              <w:rPr/>
              <w:t>% </w:t>
            </w:r>
          </w:p>
        </w:tc>
      </w:tr>
      <w:tr>
        <w:trPr/>
        <w:tc>
          <w:tcPr>
            <w:tcW w:w="24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EBITDAR(1)</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264</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410</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(35.5</w:t>
            </w:r>
          </w:p>
        </w:tc>
        <w:tc>
          <w:tcPr>
            <w:tcW w:w="349"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600</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729</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(17.7</w:t>
            </w:r>
          </w:p>
        </w:tc>
        <w:tc>
          <w:tcPr>
            <w:tcW w:w="364" w:type="dxa"/>
            <w:tcBorders/>
            <w:shd w:fill="CCEEFF" w:val="clear"/>
            <w:vAlign w:val="bottom"/>
          </w:tcPr>
          <w:p>
            <w:pPr>
              <w:pStyle w:val="TableContents"/>
              <w:bidi w:val="0"/>
              <w:spacing w:before="0" w:after="283"/>
              <w:jc w:val="left"/>
              <w:rPr/>
            </w:pPr>
            <w:r>
              <w:rPr/>
              <w:t>%) </w:t>
            </w:r>
          </w:p>
        </w:tc>
      </w:tr>
      <w:tr>
        <w:trPr/>
        <w:tc>
          <w:tcPr>
            <w:tcW w:w="2493"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EBITDAR margin(1) (% revenue)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17.9</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31.2</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(13.3 p.p.</w:t>
            </w:r>
          </w:p>
        </w:tc>
        <w:tc>
          <w:tcPr>
            <w:tcW w:w="34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21.3</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29.2</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(7.9 p.p.</w:t>
            </w:r>
          </w:p>
        </w:tc>
        <w:tc>
          <w:tcPr>
            <w:tcW w:w="364" w:type="dxa"/>
            <w:tcBorders/>
            <w:vAlign w:val="bottom"/>
          </w:tcPr>
          <w:p>
            <w:pPr>
              <w:pStyle w:val="TableContents"/>
              <w:bidi w:val="0"/>
              <w:spacing w:before="0" w:after="283"/>
              <w:jc w:val="left"/>
              <w:rPr/>
            </w:pPr>
            <w:r>
              <w:rPr/>
              <w:t>) </w:t>
            </w:r>
          </w:p>
        </w:tc>
      </w:tr>
      <w:tr>
        <w:trPr/>
        <w:tc>
          <w:tcPr>
            <w:tcW w:w="24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income (loss)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68</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230</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(70.5</w:t>
            </w:r>
          </w:p>
        </w:tc>
        <w:tc>
          <w:tcPr>
            <w:tcW w:w="349"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210</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372</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(43.7</w:t>
            </w:r>
          </w:p>
        </w:tc>
        <w:tc>
          <w:tcPr>
            <w:tcW w:w="364" w:type="dxa"/>
            <w:tcBorders/>
            <w:shd w:fill="CCEEFF" w:val="clear"/>
            <w:vAlign w:val="bottom"/>
          </w:tcPr>
          <w:p>
            <w:pPr>
              <w:pStyle w:val="TableContents"/>
              <w:bidi w:val="0"/>
              <w:spacing w:before="0" w:after="283"/>
              <w:jc w:val="left"/>
              <w:rPr/>
            </w:pPr>
            <w:r>
              <w:rPr/>
              <w:t>%) </w:t>
            </w:r>
          </w:p>
        </w:tc>
      </w:tr>
      <w:tr>
        <w:trPr/>
        <w:tc>
          <w:tcPr>
            <w:tcW w:w="2493" w:type="dxa"/>
            <w:tcBorders/>
          </w:tcPr>
          <w:p>
            <w:pPr>
              <w:pStyle w:val="TableContents"/>
              <w:bidi w:val="0"/>
              <w:spacing w:before="0" w:after="0"/>
              <w:jc w:val="left"/>
              <w:rPr>
                <w:rFonts w:ascii="Times New Roman" w:hAnsi="Times New Roman"/>
                <w:sz w:val="20"/>
              </w:rPr>
            </w:pPr>
            <w:r>
              <w:rPr>
                <w:rFonts w:ascii="Times New Roman" w:hAnsi="Times New Roman"/>
                <w:sz w:val="20"/>
              </w:rPr>
              <w:t>Operating margin (% of revenue)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4.6</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17.5</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(12.9 p.p.</w:t>
            </w:r>
          </w:p>
        </w:tc>
        <w:tc>
          <w:tcPr>
            <w:tcW w:w="34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7.4</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14.9</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(7.5 p.p.</w:t>
            </w:r>
          </w:p>
        </w:tc>
        <w:tc>
          <w:tcPr>
            <w:tcW w:w="364" w:type="dxa"/>
            <w:tcBorders/>
            <w:vAlign w:val="bottom"/>
          </w:tcPr>
          <w:p>
            <w:pPr>
              <w:pStyle w:val="TableContents"/>
              <w:bidi w:val="0"/>
              <w:spacing w:before="0" w:after="283"/>
              <w:jc w:val="left"/>
              <w:rPr/>
            </w:pPr>
            <w:r>
              <w:rPr/>
              <w:t>) </w:t>
            </w:r>
          </w:p>
        </w:tc>
      </w:tr>
      <w:tr>
        <w:trPr/>
        <w:tc>
          <w:tcPr>
            <w:tcW w:w="24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(58</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68</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NA</w:t>
            </w:r>
          </w:p>
        </w:tc>
        <w:tc>
          <w:tcPr>
            <w:tcW w:w="349"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(47</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90</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NA</w:t>
            </w:r>
          </w:p>
        </w:tc>
        <w:tc>
          <w:tcPr>
            <w:tcW w:w="364" w:type="dxa"/>
            <w:tcBorders/>
            <w:shd w:fill="CCEEFF" w:val="clear"/>
            <w:vAlign w:val="bottom"/>
          </w:tcPr>
          <w:p>
            <w:pPr>
              <w:pStyle w:val="TableContents"/>
              <w:bidi w:val="0"/>
              <w:spacing w:before="0" w:after="283"/>
              <w:jc w:val="left"/>
              <w:rPr/>
            </w:pPr>
            <w:r>
              <w:rPr/>
              <w:t> </w:t>
            </w:r>
          </w:p>
        </w:tc>
      </w:tr>
      <w:tr>
        <w:trPr/>
        <w:tc>
          <w:tcPr>
            <w:tcW w:w="249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margin (% of revenue)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-3.9</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5.2</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(9.1 p.p.</w:t>
            </w:r>
          </w:p>
        </w:tc>
        <w:tc>
          <w:tcPr>
            <w:tcW w:w="34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-1.7</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3.6</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(5.3 p.p.</w:t>
            </w:r>
          </w:p>
        </w:tc>
        <w:tc>
          <w:tcPr>
            <w:tcW w:w="364" w:type="dxa"/>
            <w:tcBorders/>
            <w:vAlign w:val="bottom"/>
          </w:tcPr>
          <w:p>
            <w:pPr>
              <w:pStyle w:val="TableContents"/>
              <w:bidi w:val="0"/>
              <w:spacing w:before="0" w:after="283"/>
              <w:jc w:val="left"/>
              <w:rPr/>
            </w:pPr>
            <w:r>
              <w:rPr/>
              <w:t>) </w:t>
            </w:r>
          </w:p>
        </w:tc>
      </w:tr>
      <w:tr>
        <w:trPr>
          <w:trHeight w:val="240" w:hRule="atLeast"/>
        </w:trPr>
        <w:tc>
          <w:tcPr>
            <w:tcW w:w="2493" w:type="dxa"/>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23" w:type="dxa"/>
            <w:gridSpan w:val="4"/>
            <w:tcBorders/>
            <w:vAlign w:val="center"/>
          </w:tcPr>
          <w:p>
            <w:pPr>
              <w:pStyle w:val="TableContents"/>
              <w:bidi w:val="0"/>
              <w:spacing w:before="0" w:after="283"/>
              <w:jc w:val="left"/>
              <w:rPr>
                <w:sz w:val="4"/>
                <w:szCs w:val="4"/>
              </w:rPr>
            </w:pPr>
            <w:r>
              <w:rPr>
                <w:sz w:val="4"/>
                <w:szCs w:val="4"/>
              </w:rPr>
            </w:r>
          </w:p>
        </w:tc>
        <w:tc>
          <w:tcPr>
            <w:tcW w:w="1439" w:type="dxa"/>
            <w:gridSpan w:val="4"/>
            <w:tcBorders/>
            <w:vAlign w:val="center"/>
          </w:tcPr>
          <w:p>
            <w:pPr>
              <w:pStyle w:val="TableContents"/>
              <w:bidi w:val="0"/>
              <w:spacing w:before="0" w:after="283"/>
              <w:jc w:val="left"/>
              <w:rPr>
                <w:sz w:val="4"/>
                <w:szCs w:val="4"/>
              </w:rPr>
            </w:pPr>
            <w:r>
              <w:rPr>
                <w:sz w:val="4"/>
                <w:szCs w:val="4"/>
              </w:rPr>
            </w:r>
          </w:p>
        </w:tc>
        <w:tc>
          <w:tcPr>
            <w:tcW w:w="1223" w:type="dxa"/>
            <w:gridSpan w:val="4"/>
            <w:tcBorders/>
            <w:vAlign w:val="center"/>
          </w:tcPr>
          <w:p>
            <w:pPr>
              <w:pStyle w:val="TableContents"/>
              <w:bidi w:val="0"/>
              <w:spacing w:before="0" w:after="283"/>
              <w:jc w:val="left"/>
              <w:rPr>
                <w:sz w:val="4"/>
                <w:szCs w:val="4"/>
              </w:rPr>
            </w:pPr>
            <w:r>
              <w:rPr>
                <w:sz w:val="4"/>
                <w:szCs w:val="4"/>
              </w:rPr>
            </w:r>
          </w:p>
        </w:tc>
        <w:tc>
          <w:tcPr>
            <w:tcW w:w="1223" w:type="dxa"/>
            <w:gridSpan w:val="4"/>
            <w:tcBorders/>
            <w:vAlign w:val="center"/>
          </w:tcPr>
          <w:p>
            <w:pPr>
              <w:pStyle w:val="TableContents"/>
              <w:bidi w:val="0"/>
              <w:spacing w:before="0" w:after="283"/>
              <w:jc w:val="left"/>
              <w:rPr>
                <w:sz w:val="4"/>
                <w:szCs w:val="4"/>
              </w:rPr>
            </w:pPr>
            <w:r>
              <w:rPr>
                <w:sz w:val="4"/>
                <w:szCs w:val="4"/>
              </w:rPr>
            </w:r>
          </w:p>
        </w:tc>
        <w:tc>
          <w:tcPr>
            <w:tcW w:w="1324" w:type="dxa"/>
            <w:gridSpan w:val="4"/>
            <w:tcBorders/>
            <w:vAlign w:val="center"/>
          </w:tcPr>
          <w:p>
            <w:pPr>
              <w:pStyle w:val="TableContents"/>
              <w:bidi w:val="0"/>
              <w:spacing w:before="0" w:after="283"/>
              <w:jc w:val="left"/>
              <w:rPr>
                <w:sz w:val="4"/>
                <w:szCs w:val="4"/>
              </w:rPr>
            </w:pPr>
            <w:r>
              <w:rPr>
                <w:sz w:val="4"/>
                <w:szCs w:val="4"/>
              </w:rPr>
            </w:r>
          </w:p>
        </w:tc>
      </w:tr>
      <w:tr>
        <w:trPr/>
        <w:tc>
          <w:tcPr>
            <w:tcW w:w="249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Operating Indicators</w:t>
            </w:r>
          </w:p>
        </w:tc>
        <w:tc>
          <w:tcPr>
            <w:tcW w:w="130"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w:t>
            </w:r>
          </w:p>
        </w:tc>
        <w:tc>
          <w:tcPr>
            <w:tcW w:w="34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w:t>
            </w:r>
          </w:p>
        </w:tc>
        <w:tc>
          <w:tcPr>
            <w:tcW w:w="364" w:type="dxa"/>
            <w:tcBorders/>
            <w:vAlign w:val="bottom"/>
          </w:tcPr>
          <w:p>
            <w:pPr>
              <w:pStyle w:val="TableContents"/>
              <w:bidi w:val="0"/>
              <w:spacing w:before="0" w:after="283"/>
              <w:jc w:val="left"/>
              <w:rPr/>
            </w:pPr>
            <w:r>
              <w:rPr/>
              <w:t> </w:t>
            </w:r>
          </w:p>
        </w:tc>
      </w:tr>
      <w:tr>
        <w:trPr/>
        <w:tc>
          <w:tcPr>
            <w:tcW w:w="24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ASMs (millions)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9,256</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9,080</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1.9</w:t>
            </w:r>
          </w:p>
        </w:tc>
        <w:tc>
          <w:tcPr>
            <w:tcW w:w="349"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17,853</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17,777</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0.4</w:t>
            </w:r>
          </w:p>
        </w:tc>
        <w:tc>
          <w:tcPr>
            <w:tcW w:w="364" w:type="dxa"/>
            <w:tcBorders/>
            <w:shd w:fill="CCEEFF" w:val="clear"/>
            <w:vAlign w:val="bottom"/>
          </w:tcPr>
          <w:p>
            <w:pPr>
              <w:pStyle w:val="TableContents"/>
              <w:bidi w:val="0"/>
              <w:spacing w:before="0" w:after="283"/>
              <w:jc w:val="left"/>
              <w:rPr/>
            </w:pPr>
            <w:r>
              <w:rPr/>
              <w:t>% </w:t>
            </w:r>
          </w:p>
        </w:tc>
      </w:tr>
      <w:tr>
        <w:trPr/>
        <w:tc>
          <w:tcPr>
            <w:tcW w:w="2493" w:type="dxa"/>
            <w:tcBorders/>
          </w:tcPr>
          <w:p>
            <w:pPr>
              <w:pStyle w:val="TableContents"/>
              <w:bidi w:val="0"/>
              <w:spacing w:before="0" w:after="0"/>
              <w:jc w:val="left"/>
              <w:rPr>
                <w:rFonts w:ascii="Times New Roman" w:hAnsi="Times New Roman"/>
                <w:sz w:val="20"/>
              </w:rPr>
            </w:pPr>
            <w:r>
              <w:rPr>
                <w:rFonts w:ascii="Times New Roman" w:hAnsi="Times New Roman"/>
                <w:sz w:val="20"/>
              </w:rPr>
              <w:t>Total RPMs (millions)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7,851</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7,777</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0.9</w:t>
            </w:r>
          </w:p>
        </w:tc>
        <w:tc>
          <w:tcPr>
            <w:tcW w:w="34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15,106</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14,935</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1.1</w:t>
            </w:r>
          </w:p>
        </w:tc>
        <w:tc>
          <w:tcPr>
            <w:tcW w:w="364" w:type="dxa"/>
            <w:tcBorders/>
            <w:vAlign w:val="bottom"/>
          </w:tcPr>
          <w:p>
            <w:pPr>
              <w:pStyle w:val="TableContents"/>
              <w:bidi w:val="0"/>
              <w:spacing w:before="0" w:after="283"/>
              <w:jc w:val="left"/>
              <w:rPr/>
            </w:pPr>
            <w:r>
              <w:rPr/>
              <w:t>% </w:t>
            </w:r>
          </w:p>
        </w:tc>
      </w:tr>
      <w:tr>
        <w:trPr/>
        <w:tc>
          <w:tcPr>
            <w:tcW w:w="24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Load factor on scheduled flights (%)</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84.9</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85.7</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(0.8 p.p.</w:t>
            </w:r>
          </w:p>
        </w:tc>
        <w:tc>
          <w:tcPr>
            <w:tcW w:w="349"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84.7</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84.0</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0.7 p.p.</w:t>
            </w:r>
          </w:p>
        </w:tc>
        <w:tc>
          <w:tcPr>
            <w:tcW w:w="364" w:type="dxa"/>
            <w:tcBorders/>
            <w:shd w:fill="CCEEFF" w:val="clear"/>
            <w:vAlign w:val="bottom"/>
          </w:tcPr>
          <w:p>
            <w:pPr>
              <w:pStyle w:val="TableContents"/>
              <w:bidi w:val="0"/>
              <w:spacing w:before="0" w:after="283"/>
              <w:jc w:val="left"/>
              <w:rPr/>
            </w:pPr>
            <w:r>
              <w:rPr/>
              <w:t> </w:t>
            </w:r>
          </w:p>
        </w:tc>
      </w:tr>
      <w:tr>
        <w:trPr/>
        <w:tc>
          <w:tcPr>
            <w:tcW w:w="2493" w:type="dxa"/>
            <w:tcBorders/>
          </w:tcPr>
          <w:p>
            <w:pPr>
              <w:pStyle w:val="TableContents"/>
              <w:bidi w:val="0"/>
              <w:spacing w:before="0" w:after="0"/>
              <w:jc w:val="left"/>
              <w:rPr>
                <w:rFonts w:ascii="Times New Roman" w:hAnsi="Times New Roman"/>
                <w:sz w:val="20"/>
              </w:rPr>
            </w:pPr>
            <w:r>
              <w:rPr>
                <w:rFonts w:ascii="Times New Roman" w:hAnsi="Times New Roman"/>
                <w:sz w:val="20"/>
              </w:rPr>
              <w:t>Passengers (‘000)</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6,014</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6,180</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(2.7</w:t>
            </w:r>
          </w:p>
        </w:tc>
        <w:tc>
          <w:tcPr>
            <w:tcW w:w="34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11,805</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12,057</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(2.1</w:t>
            </w:r>
          </w:p>
        </w:tc>
        <w:tc>
          <w:tcPr>
            <w:tcW w:w="364" w:type="dxa"/>
            <w:tcBorders/>
            <w:vAlign w:val="bottom"/>
          </w:tcPr>
          <w:p>
            <w:pPr>
              <w:pStyle w:val="TableContents"/>
              <w:bidi w:val="0"/>
              <w:spacing w:before="0" w:after="283"/>
              <w:jc w:val="left"/>
              <w:rPr/>
            </w:pPr>
            <w:r>
              <w:rPr/>
              <w:t>%) </w:t>
            </w:r>
          </w:p>
        </w:tc>
      </w:tr>
      <w:tr>
        <w:trPr/>
        <w:tc>
          <w:tcPr>
            <w:tcW w:w="24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On-Time departure performance within 15 minutes (%)</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89.8</w:t>
            </w:r>
          </w:p>
        </w:tc>
        <w:tc>
          <w:tcPr>
            <w:tcW w:w="278" w:type="dxa"/>
            <w:tcBorders/>
            <w:shd w:fill="CCEEFF" w:val="clear"/>
            <w:vAlign w:val="bottom"/>
          </w:tcPr>
          <w:p>
            <w:pPr>
              <w:pStyle w:val="TableContents"/>
              <w:bidi w:val="0"/>
              <w:spacing w:before="0" w:after="283"/>
              <w:jc w:val="left"/>
              <w:rPr/>
            </w:pPr>
            <w:r>
              <w:rPr/>
              <w:t>%</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92.2</w:t>
            </w:r>
          </w:p>
        </w:tc>
        <w:tc>
          <w:tcPr>
            <w:tcW w:w="278" w:type="dxa"/>
            <w:tcBorders/>
            <w:shd w:fill="CCEEFF" w:val="clear"/>
            <w:vAlign w:val="bottom"/>
          </w:tcPr>
          <w:p>
            <w:pPr>
              <w:pStyle w:val="TableContents"/>
              <w:bidi w:val="0"/>
              <w:spacing w:before="0" w:after="283"/>
              <w:jc w:val="left"/>
              <w:rPr/>
            </w:pPr>
            <w:r>
              <w:rPr/>
              <w:t>%</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(2.4 p.p.</w:t>
            </w:r>
          </w:p>
        </w:tc>
        <w:tc>
          <w:tcPr>
            <w:tcW w:w="349" w:type="dxa"/>
            <w:tcBorders/>
            <w:shd w:fill="CCEEFF" w:val="clear"/>
            <w:vAlign w:val="bottom"/>
          </w:tcPr>
          <w:p>
            <w:pPr>
              <w:pStyle w:val="TableContents"/>
              <w:bidi w:val="0"/>
              <w:spacing w:before="0" w:after="283"/>
              <w:jc w:val="left"/>
              <w:rPr/>
            </w:pPr>
            <w:r>
              <w:rPr/>
              <w:t>)</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91.0</w:t>
            </w:r>
          </w:p>
        </w:tc>
        <w:tc>
          <w:tcPr>
            <w:tcW w:w="278" w:type="dxa"/>
            <w:tcBorders/>
            <w:shd w:fill="CCEEFF" w:val="clear"/>
            <w:vAlign w:val="bottom"/>
          </w:tcPr>
          <w:p>
            <w:pPr>
              <w:pStyle w:val="TableContents"/>
              <w:bidi w:val="0"/>
              <w:spacing w:before="0" w:after="283"/>
              <w:jc w:val="left"/>
              <w:rPr/>
            </w:pPr>
            <w:r>
              <w:rPr/>
              <w:t>%</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92.0</w:t>
            </w:r>
          </w:p>
        </w:tc>
        <w:tc>
          <w:tcPr>
            <w:tcW w:w="278" w:type="dxa"/>
            <w:tcBorders/>
            <w:shd w:fill="CCEEFF" w:val="clear"/>
            <w:vAlign w:val="bottom"/>
          </w:tcPr>
          <w:p>
            <w:pPr>
              <w:pStyle w:val="TableContents"/>
              <w:bidi w:val="0"/>
              <w:spacing w:before="0" w:after="283"/>
              <w:jc w:val="left"/>
              <w:rPr/>
            </w:pPr>
            <w:r>
              <w:rPr/>
              <w:t>%</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(1.0 p.p.</w:t>
            </w:r>
          </w:p>
        </w:tc>
        <w:tc>
          <w:tcPr>
            <w:tcW w:w="364" w:type="dxa"/>
            <w:tcBorders/>
            <w:shd w:fill="CCEEFF" w:val="clear"/>
            <w:vAlign w:val="bottom"/>
          </w:tcPr>
          <w:p>
            <w:pPr>
              <w:pStyle w:val="TableContents"/>
              <w:bidi w:val="0"/>
              <w:spacing w:before="0" w:after="283"/>
              <w:jc w:val="left"/>
              <w:rPr/>
            </w:pPr>
            <w:r>
              <w:rPr/>
              <w:t>)</w:t>
            </w:r>
          </w:p>
        </w:tc>
      </w:tr>
      <w:tr>
        <w:trPr/>
        <w:tc>
          <w:tcPr>
            <w:tcW w:w="2493" w:type="dxa"/>
            <w:tcBorders/>
          </w:tcPr>
          <w:p>
            <w:pPr>
              <w:pStyle w:val="TableContents"/>
              <w:bidi w:val="0"/>
              <w:spacing w:before="0" w:after="0"/>
              <w:jc w:val="left"/>
              <w:rPr>
                <w:rFonts w:ascii="Times New Roman" w:hAnsi="Times New Roman"/>
                <w:sz w:val="20"/>
              </w:rPr>
            </w:pPr>
            <w:r>
              <w:rPr>
                <w:rFonts w:ascii="Times New Roman" w:hAnsi="Times New Roman"/>
                <w:sz w:val="20"/>
              </w:rPr>
              <w:t>Total liters of fuel (‘000)</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444,693</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443,893</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0.2</w:t>
            </w:r>
          </w:p>
        </w:tc>
        <w:tc>
          <w:tcPr>
            <w:tcW w:w="34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855,667</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865,751</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(1.2</w:t>
            </w:r>
          </w:p>
        </w:tc>
        <w:tc>
          <w:tcPr>
            <w:tcW w:w="364" w:type="dxa"/>
            <w:tcBorders/>
            <w:vAlign w:val="bottom"/>
          </w:tcPr>
          <w:p>
            <w:pPr>
              <w:pStyle w:val="TableContents"/>
              <w:bidi w:val="0"/>
              <w:spacing w:before="0" w:after="283"/>
              <w:jc w:val="left"/>
              <w:rPr/>
            </w:pPr>
            <w:r>
              <w:rPr/>
              <w:t>%) </w:t>
            </w:r>
          </w:p>
        </w:tc>
      </w:tr>
      <w:tr>
        <w:trPr/>
        <w:tc>
          <w:tcPr>
            <w:tcW w:w="24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Yield (USD cents) (2)</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14.7</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13.2</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11.4</w:t>
            </w:r>
          </w:p>
        </w:tc>
        <w:tc>
          <w:tcPr>
            <w:tcW w:w="349"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14.6</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13.3</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10.1</w:t>
            </w:r>
          </w:p>
        </w:tc>
        <w:tc>
          <w:tcPr>
            <w:tcW w:w="364" w:type="dxa"/>
            <w:tcBorders/>
            <w:shd w:fill="CCEEFF" w:val="clear"/>
            <w:vAlign w:val="bottom"/>
          </w:tcPr>
          <w:p>
            <w:pPr>
              <w:pStyle w:val="TableContents"/>
              <w:bidi w:val="0"/>
              <w:spacing w:before="0" w:after="283"/>
              <w:jc w:val="left"/>
              <w:rPr/>
            </w:pPr>
            <w:r>
              <w:rPr/>
              <w:t>% </w:t>
            </w:r>
          </w:p>
        </w:tc>
      </w:tr>
      <w:tr>
        <w:trPr/>
        <w:tc>
          <w:tcPr>
            <w:tcW w:w="2493"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 / ASM (USD cents)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16.0</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14.5</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10.5</w:t>
            </w:r>
          </w:p>
        </w:tc>
        <w:tc>
          <w:tcPr>
            <w:tcW w:w="34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15.8</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14.1</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12.5</w:t>
            </w:r>
          </w:p>
        </w:tc>
        <w:tc>
          <w:tcPr>
            <w:tcW w:w="364" w:type="dxa"/>
            <w:tcBorders/>
            <w:vAlign w:val="bottom"/>
          </w:tcPr>
          <w:p>
            <w:pPr>
              <w:pStyle w:val="TableContents"/>
              <w:bidi w:val="0"/>
              <w:spacing w:before="0" w:after="283"/>
              <w:jc w:val="left"/>
              <w:rPr/>
            </w:pPr>
            <w:r>
              <w:rPr/>
              <w:t>% </w:t>
            </w:r>
          </w:p>
        </w:tc>
      </w:tr>
      <w:tr>
        <w:trPr/>
        <w:tc>
          <w:tcPr>
            <w:tcW w:w="24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Passenger revenue / ASM (USD cents) (2)</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12.5</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11.3</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10.3</w:t>
            </w:r>
          </w:p>
        </w:tc>
        <w:tc>
          <w:tcPr>
            <w:tcW w:w="349"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12.4</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11.1</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10.9</w:t>
            </w:r>
          </w:p>
        </w:tc>
        <w:tc>
          <w:tcPr>
            <w:tcW w:w="364" w:type="dxa"/>
            <w:tcBorders/>
            <w:shd w:fill="CCEEFF" w:val="clear"/>
            <w:vAlign w:val="bottom"/>
          </w:tcPr>
          <w:p>
            <w:pPr>
              <w:pStyle w:val="TableContents"/>
              <w:bidi w:val="0"/>
              <w:spacing w:before="0" w:after="283"/>
              <w:jc w:val="left"/>
              <w:rPr/>
            </w:pPr>
            <w:r>
              <w:rPr/>
              <w:t>% </w:t>
            </w:r>
          </w:p>
        </w:tc>
      </w:tr>
      <w:tr>
        <w:trPr/>
        <w:tc>
          <w:tcPr>
            <w:tcW w:w="2493" w:type="dxa"/>
            <w:tcBorders/>
          </w:tcPr>
          <w:p>
            <w:pPr>
              <w:pStyle w:val="TableContents"/>
              <w:bidi w:val="0"/>
              <w:spacing w:before="0" w:after="0"/>
              <w:jc w:val="left"/>
              <w:rPr>
                <w:rFonts w:ascii="Times New Roman" w:hAnsi="Times New Roman"/>
                <w:sz w:val="20"/>
              </w:rPr>
            </w:pPr>
            <w:r>
              <w:rPr>
                <w:rFonts w:ascii="Times New Roman" w:hAnsi="Times New Roman"/>
                <w:sz w:val="20"/>
              </w:rPr>
              <w:t>Total cost / ASM (USD cents)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15.3</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11.9</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28.6</w:t>
            </w:r>
          </w:p>
        </w:tc>
        <w:tc>
          <w:tcPr>
            <w:tcW w:w="34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14.6</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11.9</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22.6</w:t>
            </w:r>
          </w:p>
        </w:tc>
        <w:tc>
          <w:tcPr>
            <w:tcW w:w="364" w:type="dxa"/>
            <w:tcBorders/>
            <w:vAlign w:val="bottom"/>
          </w:tcPr>
          <w:p>
            <w:pPr>
              <w:pStyle w:val="TableContents"/>
              <w:bidi w:val="0"/>
              <w:spacing w:before="0" w:after="283"/>
              <w:jc w:val="left"/>
              <w:rPr/>
            </w:pPr>
            <w:r>
              <w:rPr/>
              <w:t>% </w:t>
            </w:r>
          </w:p>
        </w:tc>
      </w:tr>
      <w:tr>
        <w:trPr/>
        <w:tc>
          <w:tcPr>
            <w:tcW w:w="24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 excluding fuel / ASM (USD cents)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10.0</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8.9</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12.3</w:t>
            </w:r>
          </w:p>
        </w:tc>
        <w:tc>
          <w:tcPr>
            <w:tcW w:w="349"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10.1</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8.8</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14.9</w:t>
            </w:r>
          </w:p>
        </w:tc>
        <w:tc>
          <w:tcPr>
            <w:tcW w:w="364" w:type="dxa"/>
            <w:tcBorders/>
            <w:shd w:fill="CCEEFF" w:val="clear"/>
            <w:vAlign w:val="bottom"/>
          </w:tcPr>
          <w:p>
            <w:pPr>
              <w:pStyle w:val="TableContents"/>
              <w:bidi w:val="0"/>
              <w:spacing w:before="0" w:after="283"/>
              <w:jc w:val="left"/>
              <w:rPr/>
            </w:pPr>
            <w:r>
              <w:rPr/>
              <w:t>% </w:t>
            </w:r>
          </w:p>
        </w:tc>
      </w:tr>
      <w:tr>
        <w:trPr>
          <w:trHeight w:val="240" w:hRule="atLeast"/>
        </w:trPr>
        <w:tc>
          <w:tcPr>
            <w:tcW w:w="2493" w:type="dxa"/>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23" w:type="dxa"/>
            <w:gridSpan w:val="4"/>
            <w:tcBorders/>
            <w:vAlign w:val="center"/>
          </w:tcPr>
          <w:p>
            <w:pPr>
              <w:pStyle w:val="TableContents"/>
              <w:bidi w:val="0"/>
              <w:spacing w:before="0" w:after="283"/>
              <w:jc w:val="left"/>
              <w:rPr>
                <w:sz w:val="4"/>
                <w:szCs w:val="4"/>
              </w:rPr>
            </w:pPr>
            <w:r>
              <w:rPr>
                <w:sz w:val="4"/>
                <w:szCs w:val="4"/>
              </w:rPr>
            </w:r>
          </w:p>
        </w:tc>
        <w:tc>
          <w:tcPr>
            <w:tcW w:w="1439" w:type="dxa"/>
            <w:gridSpan w:val="4"/>
            <w:tcBorders/>
            <w:vAlign w:val="center"/>
          </w:tcPr>
          <w:p>
            <w:pPr>
              <w:pStyle w:val="TableContents"/>
              <w:bidi w:val="0"/>
              <w:spacing w:before="0" w:after="283"/>
              <w:jc w:val="left"/>
              <w:rPr>
                <w:sz w:val="4"/>
                <w:szCs w:val="4"/>
              </w:rPr>
            </w:pPr>
            <w:r>
              <w:rPr>
                <w:sz w:val="4"/>
                <w:szCs w:val="4"/>
              </w:rPr>
            </w:r>
          </w:p>
        </w:tc>
        <w:tc>
          <w:tcPr>
            <w:tcW w:w="1223" w:type="dxa"/>
            <w:gridSpan w:val="4"/>
            <w:tcBorders/>
            <w:vAlign w:val="center"/>
          </w:tcPr>
          <w:p>
            <w:pPr>
              <w:pStyle w:val="TableContents"/>
              <w:bidi w:val="0"/>
              <w:spacing w:before="0" w:after="283"/>
              <w:jc w:val="left"/>
              <w:rPr>
                <w:sz w:val="4"/>
                <w:szCs w:val="4"/>
              </w:rPr>
            </w:pPr>
            <w:r>
              <w:rPr>
                <w:sz w:val="4"/>
                <w:szCs w:val="4"/>
              </w:rPr>
            </w:r>
          </w:p>
        </w:tc>
        <w:tc>
          <w:tcPr>
            <w:tcW w:w="1223" w:type="dxa"/>
            <w:gridSpan w:val="4"/>
            <w:tcBorders/>
            <w:vAlign w:val="center"/>
          </w:tcPr>
          <w:p>
            <w:pPr>
              <w:pStyle w:val="TableContents"/>
              <w:bidi w:val="0"/>
              <w:spacing w:before="0" w:after="283"/>
              <w:jc w:val="left"/>
              <w:rPr>
                <w:sz w:val="4"/>
                <w:szCs w:val="4"/>
              </w:rPr>
            </w:pPr>
            <w:r>
              <w:rPr>
                <w:sz w:val="4"/>
                <w:szCs w:val="4"/>
              </w:rPr>
            </w:r>
          </w:p>
        </w:tc>
        <w:tc>
          <w:tcPr>
            <w:tcW w:w="1324" w:type="dxa"/>
            <w:gridSpan w:val="4"/>
            <w:tcBorders/>
            <w:vAlign w:val="center"/>
          </w:tcPr>
          <w:p>
            <w:pPr>
              <w:pStyle w:val="TableContents"/>
              <w:bidi w:val="0"/>
              <w:spacing w:before="0" w:after="283"/>
              <w:jc w:val="left"/>
              <w:rPr>
                <w:sz w:val="4"/>
                <w:szCs w:val="4"/>
              </w:rPr>
            </w:pPr>
            <w:r>
              <w:rPr>
                <w:sz w:val="4"/>
                <w:szCs w:val="4"/>
              </w:rPr>
            </w:r>
          </w:p>
        </w:tc>
      </w:tr>
      <w:tr>
        <w:trPr/>
        <w:tc>
          <w:tcPr>
            <w:tcW w:w="249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Other Indicators</w:t>
            </w:r>
          </w:p>
        </w:tc>
        <w:tc>
          <w:tcPr>
            <w:tcW w:w="130"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w:t>
            </w:r>
          </w:p>
        </w:tc>
        <w:tc>
          <w:tcPr>
            <w:tcW w:w="34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w:t>
            </w:r>
          </w:p>
        </w:tc>
        <w:tc>
          <w:tcPr>
            <w:tcW w:w="364" w:type="dxa"/>
            <w:tcBorders/>
            <w:vAlign w:val="bottom"/>
          </w:tcPr>
          <w:p>
            <w:pPr>
              <w:pStyle w:val="TableContents"/>
              <w:bidi w:val="0"/>
              <w:spacing w:before="0" w:after="283"/>
              <w:jc w:val="left"/>
              <w:rPr/>
            </w:pPr>
            <w:r>
              <w:rPr/>
              <w:t> </w:t>
            </w:r>
          </w:p>
        </w:tc>
      </w:tr>
      <w:tr>
        <w:trPr/>
        <w:tc>
          <w:tcPr>
            <w:tcW w:w="24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Fuel cost per gallon (USD cents)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4.20</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2.34</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79.6</w:t>
            </w:r>
          </w:p>
        </w:tc>
        <w:tc>
          <w:tcPr>
            <w:tcW w:w="349"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3.58</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2.45</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46.0</w:t>
            </w:r>
          </w:p>
        </w:tc>
        <w:tc>
          <w:tcPr>
            <w:tcW w:w="364" w:type="dxa"/>
            <w:tcBorders/>
            <w:shd w:fill="CCEEFF" w:val="clear"/>
            <w:vAlign w:val="bottom"/>
          </w:tcPr>
          <w:p>
            <w:pPr>
              <w:pStyle w:val="TableContents"/>
              <w:bidi w:val="0"/>
              <w:spacing w:before="0" w:after="283"/>
              <w:jc w:val="left"/>
              <w:rPr/>
            </w:pPr>
            <w:r>
              <w:rPr/>
              <w:t>% </w:t>
            </w:r>
          </w:p>
        </w:tc>
      </w:tr>
      <w:tr>
        <w:trPr/>
        <w:tc>
          <w:tcPr>
            <w:tcW w:w="2493" w:type="dxa"/>
            <w:tcBorders/>
          </w:tcPr>
          <w:p>
            <w:pPr>
              <w:pStyle w:val="TableContents"/>
              <w:bidi w:val="0"/>
              <w:spacing w:before="0" w:after="0"/>
              <w:jc w:val="left"/>
              <w:rPr>
                <w:rFonts w:ascii="Times New Roman" w:hAnsi="Times New Roman"/>
                <w:sz w:val="20"/>
              </w:rPr>
            </w:pPr>
            <w:r>
              <w:rPr>
                <w:rFonts w:ascii="Times New Roman" w:hAnsi="Times New Roman"/>
                <w:sz w:val="20"/>
              </w:rPr>
              <w:t>FX close(3)</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17.47</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18.89</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(7.5</w:t>
            </w:r>
          </w:p>
        </w:tc>
        <w:tc>
          <w:tcPr>
            <w:tcW w:w="34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17.47</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18.89</w:t>
            </w:r>
          </w:p>
        </w:tc>
        <w:tc>
          <w:tcPr>
            <w:tcW w:w="2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(7.5</w:t>
            </w:r>
          </w:p>
        </w:tc>
        <w:tc>
          <w:tcPr>
            <w:tcW w:w="364" w:type="dxa"/>
            <w:tcBorders/>
            <w:vAlign w:val="bottom"/>
          </w:tcPr>
          <w:p>
            <w:pPr>
              <w:pStyle w:val="TableContents"/>
              <w:bidi w:val="0"/>
              <w:spacing w:before="0" w:after="283"/>
              <w:jc w:val="left"/>
              <w:rPr/>
            </w:pPr>
            <w:r>
              <w:rPr/>
              <w:t>%) </w:t>
            </w:r>
          </w:p>
        </w:tc>
      </w:tr>
      <w:tr>
        <w:trPr/>
        <w:tc>
          <w:tcPr>
            <w:tcW w:w="24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FX average(3)</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17.40</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19.61</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(11.3</w:t>
            </w:r>
          </w:p>
        </w:tc>
        <w:tc>
          <w:tcPr>
            <w:tcW w:w="349"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17.49</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20.02</w:t>
            </w:r>
          </w:p>
        </w:tc>
        <w:tc>
          <w:tcPr>
            <w:tcW w:w="2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(12.7</w:t>
            </w:r>
          </w:p>
        </w:tc>
        <w:tc>
          <w:tcPr>
            <w:tcW w:w="3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Figures may not sum to total due to rounding.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1)</w:t>
            </w:r>
          </w:p>
        </w:tc>
        <w:tc>
          <w:tcPr>
            <w:tcW w:w="9797"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Adjusted EBITDAR and Adjusted EBITDAR margin are non-IFRS measures and have limitations as analytical tools, and you should not consider them in isolation, or as a substitute for analysis of the Company’s results as reported under IFRS. See Annex A for the definition of Aeroméxico’s non-IFRS measures and a reconciliation to the nearest IFRS measure.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2)</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Estimated as passenger revenues (excluding ancillaries) divided by total RPMs.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i/>
              </w:rPr>
            </w:pPr>
            <w:r>
              <w:rPr>
                <w:i/>
              </w:rPr>
              <w:t>3)</w:t>
            </w:r>
          </w:p>
        </w:tc>
        <w:tc>
          <w:tcPr>
            <w:tcW w:w="9800"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Source: Company with information from Banxico.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800475" cy="44069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800475" cy="44069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A on Non-IFRS Financial Measures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disclosing financial results prepared in accordance with IFRS, the Company discloses information regarding Adjusted EBITDAR, Adjusted EBITDAR Margin, Adjusted Net Debt and Net Leverage Ratio, which are non-IFRS measures. The Company believes that these measures are useful indicators of its operational performance. These known performance measurements in the aviation industry are frequently used by investors, stock analysts and others who are interested in comparing the operational performance of companies in their industry. </w:t>
      </w:r>
    </w:p>
    <w:p>
      <w:pPr>
        <w:pStyle w:val="TextBody"/>
        <w:bidi w:val="0"/>
        <w:spacing w:before="240" w:after="0"/>
        <w:jc w:val="left"/>
        <w:rPr>
          <w:rFonts w:ascii="Times New Roman" w:hAnsi="Times New Roman"/>
          <w:sz w:val="20"/>
        </w:rPr>
      </w:pPr>
      <w:r>
        <w:rPr>
          <w:rFonts w:ascii="Times New Roman" w:hAnsi="Times New Roman"/>
          <w:sz w:val="20"/>
        </w:rPr>
        <w:t xml:space="preserve">The Company defines Adjusted EBITDAR as profit or loss for the period before income tax expense (benefit), depreciation and amortization, net finance cost, and impairment (reversal), before aircraft leasing expense, in light of the non-recurring nature of this item. The Company considers Adjusted EBITDAR to be solely a valuation metric, not a performance metric. The Company defines Adjusted EBITDAR Margin as Adjusted EBITDAR divided by total revenue for the period. The Company defines Adjusted Net Debt as total loan and borrowings, including leases, minus cash and cash equivalents. The Company defines Net Leverage Ratio as Adjusted Net Debt Ratio divided by Adjusted EBITDAR for the period. </w:t>
      </w:r>
    </w:p>
    <w:p>
      <w:pPr>
        <w:pStyle w:val="TextBody"/>
        <w:bidi w:val="0"/>
        <w:spacing w:before="240" w:after="0"/>
        <w:jc w:val="left"/>
        <w:rPr>
          <w:rFonts w:ascii="Times New Roman" w:hAnsi="Times New Roman"/>
          <w:sz w:val="20"/>
        </w:rPr>
      </w:pPr>
      <w:r>
        <w:rPr>
          <w:rFonts w:ascii="Times New Roman" w:hAnsi="Times New Roman"/>
          <w:sz w:val="20"/>
        </w:rPr>
        <w:t xml:space="preserve">All of the above-mentioned non-IFRS financial measures have limitations as analytical tools, and you should not consider them in isolation, or as a substitute for analysis of the Company’s results as reported under IFRS. Some of these limitations are: (i) they do not reflect the Company’s cash expenditures, or future requirements for capital expenditures or contractual commitments; (ii) they do not reflect changes in, or cash requirements for, its working capital needs; (iii) they do not reflect the Company’s cash requirements necessary to service interest or principal payments on the Company’s debt; (iv) although depreciation and amortization are non-cash charges, the assets being depreciated and amortized will often have to be replaced in the future, and they do not reflect any cash requirements for such replacements; (v) they do not adjust for all non-cash income or expense items that are reflected in the Company’s consolidated statements of profit or loss and other comprehensive income; (vi) they do not reflect the impact of all non-recurring items; and (vii) other companies in the Company’s industry may calculate these measures, or similarly titled measures, differently than the Company does, limiting their usefulness as comparative measures. </w:t>
      </w:r>
    </w:p>
    <w:p>
      <w:pPr>
        <w:pStyle w:val="TextBody"/>
        <w:bidi w:val="0"/>
        <w:spacing w:before="240" w:after="0"/>
        <w:jc w:val="left"/>
        <w:rPr>
          <w:rFonts w:ascii="Times New Roman" w:hAnsi="Times New Roman"/>
          <w:sz w:val="20"/>
        </w:rPr>
      </w:pPr>
      <w:r>
        <w:rPr>
          <w:rFonts w:ascii="Times New Roman" w:hAnsi="Times New Roman"/>
          <w:sz w:val="20"/>
        </w:rPr>
        <w:t xml:space="preserve">Reconciliations of each of these historical measures, and to the extent applicable, forward-looking measures to the most directly comparable IFRS measure are below. No reconciliation of the forecasted amounts of Adjusted EBITDAR Margin, as incrementally adjusted, and revenue, as incrementally adjusted, for fiscal 2026 is included in this release because we are unable to quantify certain amounts that would be required to be included in the corresponding IFRS measure without unreasonable efforts, due to high variability and complexity with respect to estimating certain forward-looking amounts, and we believe such reconciliation would imply a degree of precision that would be confusing or misleading to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800475" cy="44069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800475" cy="44069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94"/>
        <w:gridCol w:w="144"/>
        <w:gridCol w:w="94"/>
        <w:gridCol w:w="601"/>
        <w:gridCol w:w="244"/>
        <w:gridCol w:w="118"/>
        <w:gridCol w:w="94"/>
        <w:gridCol w:w="601"/>
        <w:gridCol w:w="244"/>
        <w:gridCol w:w="117"/>
        <w:gridCol w:w="94"/>
        <w:gridCol w:w="831"/>
        <w:gridCol w:w="401"/>
        <w:gridCol w:w="85"/>
        <w:gridCol w:w="85"/>
        <w:gridCol w:w="542"/>
        <w:gridCol w:w="219"/>
        <w:gridCol w:w="110"/>
        <w:gridCol w:w="85"/>
        <w:gridCol w:w="542"/>
        <w:gridCol w:w="218"/>
        <w:gridCol w:w="110"/>
        <w:gridCol w:w="85"/>
        <w:gridCol w:w="734"/>
        <w:gridCol w:w="413"/>
      </w:tblGrid>
      <w:tr>
        <w:trPr/>
        <w:tc>
          <w:tcPr>
            <w:tcW w:w="3394"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39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303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40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73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413" w:type="dxa"/>
            <w:tcBorders/>
            <w:vAlign w:val="bottom"/>
          </w:tcPr>
          <w:p>
            <w:pPr>
              <w:pStyle w:val="TableContents"/>
              <w:bidi w:val="0"/>
              <w:spacing w:before="0" w:after="283"/>
              <w:jc w:val="left"/>
              <w:rPr/>
            </w:pPr>
            <w:r>
              <w:rPr/>
              <w:t> </w:t>
            </w:r>
          </w:p>
        </w:tc>
      </w:tr>
      <w:tr>
        <w:trPr/>
        <w:tc>
          <w:tcPr>
            <w:tcW w:w="339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Adjusted EBITDAR reconciliation</w:t>
            </w:r>
          </w:p>
        </w:tc>
        <w:tc>
          <w:tcPr>
            <w:tcW w:w="144"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4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4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w:t>
            </w:r>
          </w:p>
        </w:tc>
        <w:tc>
          <w:tcPr>
            <w:tcW w:w="40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1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1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w:t>
            </w:r>
          </w:p>
        </w:tc>
        <w:tc>
          <w:tcPr>
            <w:tcW w:w="413" w:type="dxa"/>
            <w:tcBorders/>
            <w:vAlign w:val="bottom"/>
          </w:tcPr>
          <w:p>
            <w:pPr>
              <w:pStyle w:val="TableContents"/>
              <w:bidi w:val="0"/>
              <w:spacing w:before="0" w:after="283"/>
              <w:jc w:val="left"/>
              <w:rPr/>
            </w:pPr>
            <w:r>
              <w:rPr/>
              <w:t> </w:t>
            </w:r>
          </w:p>
        </w:tc>
      </w:tr>
      <w:tr>
        <w:trPr/>
        <w:tc>
          <w:tcPr>
            <w:tcW w:w="3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Profit (loss) for the period</w:t>
            </w:r>
          </w:p>
        </w:tc>
        <w:tc>
          <w:tcPr>
            <w:tcW w:w="14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pPr>
            <w:r>
              <w:rPr/>
              <w:t>(58</w:t>
            </w:r>
          </w:p>
        </w:tc>
        <w:tc>
          <w:tcPr>
            <w:tcW w:w="244"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pPr>
            <w:r>
              <w:rPr/>
              <w:t>68</w:t>
            </w:r>
          </w:p>
        </w:tc>
        <w:tc>
          <w:tcPr>
            <w:tcW w:w="24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40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pPr>
            <w:r>
              <w:rPr/>
              <w:t>(47</w:t>
            </w:r>
          </w:p>
        </w:tc>
        <w:tc>
          <w:tcPr>
            <w:tcW w:w="21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pPr>
            <w:r>
              <w:rPr/>
              <w:t>90</w:t>
            </w:r>
          </w:p>
        </w:tc>
        <w:tc>
          <w:tcPr>
            <w:tcW w:w="218"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— </w:t>
            </w:r>
          </w:p>
        </w:tc>
        <w:tc>
          <w:tcPr>
            <w:tcW w:w="413" w:type="dxa"/>
            <w:tcBorders/>
            <w:shd w:fill="CCEEFF" w:val="clear"/>
            <w:vAlign w:val="bottom"/>
          </w:tcPr>
          <w:p>
            <w:pPr>
              <w:pStyle w:val="TableContents"/>
              <w:bidi w:val="0"/>
              <w:spacing w:before="0" w:after="283"/>
              <w:jc w:val="left"/>
              <w:rPr/>
            </w:pPr>
            <w:r>
              <w:rPr/>
              <w:t> </w:t>
            </w:r>
          </w:p>
        </w:tc>
      </w:tr>
      <w:tr>
        <w:trPr/>
        <w:tc>
          <w:tcPr>
            <w:tcW w:w="3394" w:type="dxa"/>
            <w:tcBorders/>
          </w:tcPr>
          <w:p>
            <w:pPr>
              <w:pStyle w:val="TableContents"/>
              <w:bidi w:val="0"/>
              <w:spacing w:before="0" w:after="0"/>
              <w:jc w:val="left"/>
              <w:rPr>
                <w:rFonts w:ascii="Times New Roman" w:hAnsi="Times New Roman"/>
                <w:sz w:val="20"/>
              </w:rPr>
            </w:pPr>
            <w:r>
              <w:rPr>
                <w:rFonts w:ascii="Times New Roman" w:hAnsi="Times New Roman"/>
                <w:sz w:val="20"/>
              </w:rPr>
              <w:t>(+) Income tax expense (benefit)</w:t>
            </w:r>
          </w:p>
        </w:tc>
        <w:tc>
          <w:tcPr>
            <w:tcW w:w="14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pPr>
            <w:r>
              <w:rPr/>
              <w:t>(10</w:t>
            </w:r>
          </w:p>
        </w:tc>
        <w:tc>
          <w:tcPr>
            <w:tcW w:w="24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pPr>
            <w:r>
              <w:rPr/>
              <w:t>17</w:t>
            </w:r>
          </w:p>
        </w:tc>
        <w:tc>
          <w:tcPr>
            <w:tcW w:w="24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40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right"/>
              <w:rPr/>
            </w:pPr>
            <w:r>
              <w:rPr/>
              <w:t>(8</w:t>
            </w:r>
          </w:p>
        </w:tc>
        <w:tc>
          <w:tcPr>
            <w:tcW w:w="21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right"/>
              <w:rPr/>
            </w:pPr>
            <w:r>
              <w:rPr/>
              <w:t>22</w:t>
            </w:r>
          </w:p>
        </w:tc>
        <w:tc>
          <w:tcPr>
            <w:tcW w:w="21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— </w:t>
            </w:r>
          </w:p>
        </w:tc>
        <w:tc>
          <w:tcPr>
            <w:tcW w:w="413" w:type="dxa"/>
            <w:tcBorders/>
            <w:vAlign w:val="bottom"/>
          </w:tcPr>
          <w:p>
            <w:pPr>
              <w:pStyle w:val="TableContents"/>
              <w:bidi w:val="0"/>
              <w:spacing w:before="0" w:after="283"/>
              <w:jc w:val="left"/>
              <w:rPr/>
            </w:pPr>
            <w:r>
              <w:rPr/>
              <w:t> </w:t>
            </w:r>
          </w:p>
        </w:tc>
      </w:tr>
      <w:tr>
        <w:trPr/>
        <w:tc>
          <w:tcPr>
            <w:tcW w:w="3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 Depreciation and amortization(1) </w:t>
            </w:r>
          </w:p>
        </w:tc>
        <w:tc>
          <w:tcPr>
            <w:tcW w:w="14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pPr>
            <w:r>
              <w:rPr/>
              <w:t>193</w:t>
            </w:r>
          </w:p>
        </w:tc>
        <w:tc>
          <w:tcPr>
            <w:tcW w:w="244"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pPr>
            <w:r>
              <w:rPr/>
              <w:t>180</w:t>
            </w:r>
          </w:p>
        </w:tc>
        <w:tc>
          <w:tcPr>
            <w:tcW w:w="24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7.2</w:t>
            </w:r>
          </w:p>
        </w:tc>
        <w:tc>
          <w:tcPr>
            <w:tcW w:w="40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pPr>
            <w:r>
              <w:rPr/>
              <w:t>382</w:t>
            </w:r>
          </w:p>
        </w:tc>
        <w:tc>
          <w:tcPr>
            <w:tcW w:w="21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pPr>
            <w:r>
              <w:rPr/>
              <w:t>353</w:t>
            </w:r>
          </w:p>
        </w:tc>
        <w:tc>
          <w:tcPr>
            <w:tcW w:w="218"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8.4</w:t>
            </w:r>
          </w:p>
        </w:tc>
        <w:tc>
          <w:tcPr>
            <w:tcW w:w="413" w:type="dxa"/>
            <w:tcBorders/>
            <w:shd w:fill="CCEEFF" w:val="clear"/>
            <w:vAlign w:val="bottom"/>
          </w:tcPr>
          <w:p>
            <w:pPr>
              <w:pStyle w:val="TableContents"/>
              <w:bidi w:val="0"/>
              <w:spacing w:before="0" w:after="283"/>
              <w:jc w:val="left"/>
              <w:rPr/>
            </w:pPr>
            <w:r>
              <w:rPr/>
              <w:t>% </w:t>
            </w:r>
          </w:p>
        </w:tc>
      </w:tr>
      <w:tr>
        <w:trPr/>
        <w:tc>
          <w:tcPr>
            <w:tcW w:w="3394" w:type="dxa"/>
            <w:tcBorders/>
          </w:tcPr>
          <w:p>
            <w:pPr>
              <w:pStyle w:val="TableContents"/>
              <w:bidi w:val="0"/>
              <w:spacing w:before="0" w:after="0"/>
              <w:jc w:val="left"/>
              <w:rPr>
                <w:rFonts w:ascii="Times New Roman" w:hAnsi="Times New Roman"/>
                <w:sz w:val="20"/>
              </w:rPr>
            </w:pPr>
            <w:r>
              <w:rPr>
                <w:rFonts w:ascii="Times New Roman" w:hAnsi="Times New Roman"/>
                <w:sz w:val="20"/>
              </w:rPr>
              <w:t>(+) Net finance cost</w:t>
            </w:r>
          </w:p>
        </w:tc>
        <w:tc>
          <w:tcPr>
            <w:tcW w:w="14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pPr>
            <w:r>
              <w:rPr/>
              <w:t>136</w:t>
            </w:r>
          </w:p>
        </w:tc>
        <w:tc>
          <w:tcPr>
            <w:tcW w:w="24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pPr>
            <w:r>
              <w:rPr/>
              <w:t>145</w:t>
            </w:r>
          </w:p>
        </w:tc>
        <w:tc>
          <w:tcPr>
            <w:tcW w:w="24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(6.5</w:t>
            </w:r>
          </w:p>
        </w:tc>
        <w:tc>
          <w:tcPr>
            <w:tcW w:w="40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right"/>
              <w:rPr/>
            </w:pPr>
            <w:r>
              <w:rPr/>
              <w:t>265</w:t>
            </w:r>
          </w:p>
        </w:tc>
        <w:tc>
          <w:tcPr>
            <w:tcW w:w="21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right"/>
              <w:rPr/>
            </w:pPr>
            <w:r>
              <w:rPr/>
              <w:t>260</w:t>
            </w:r>
          </w:p>
        </w:tc>
        <w:tc>
          <w:tcPr>
            <w:tcW w:w="21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2.0</w:t>
            </w:r>
          </w:p>
        </w:tc>
        <w:tc>
          <w:tcPr>
            <w:tcW w:w="413" w:type="dxa"/>
            <w:tcBorders/>
            <w:vAlign w:val="bottom"/>
          </w:tcPr>
          <w:p>
            <w:pPr>
              <w:pStyle w:val="TableContents"/>
              <w:bidi w:val="0"/>
              <w:spacing w:before="0" w:after="283"/>
              <w:jc w:val="left"/>
              <w:rPr/>
            </w:pPr>
            <w:r>
              <w:rPr/>
              <w:t>% </w:t>
            </w:r>
          </w:p>
        </w:tc>
      </w:tr>
      <w:tr>
        <w:trPr/>
        <w:tc>
          <w:tcPr>
            <w:tcW w:w="3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Impairment (reversal)</w:t>
            </w:r>
          </w:p>
        </w:tc>
        <w:tc>
          <w:tcPr>
            <w:tcW w:w="14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pPr>
            <w:r>
              <w:rPr/>
              <w:t>0</w:t>
            </w:r>
          </w:p>
        </w:tc>
        <w:tc>
          <w:tcPr>
            <w:tcW w:w="244"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pPr>
            <w:r>
              <w:rPr/>
              <w:t>(4</w:t>
            </w:r>
          </w:p>
        </w:tc>
        <w:tc>
          <w:tcPr>
            <w:tcW w:w="24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40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pPr>
            <w:r>
              <w:rPr/>
              <w:t>0</w:t>
            </w:r>
          </w:p>
        </w:tc>
        <w:tc>
          <w:tcPr>
            <w:tcW w:w="21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pPr>
            <w:r>
              <w:rPr/>
              <w:t>(4</w:t>
            </w:r>
          </w:p>
        </w:tc>
        <w:tc>
          <w:tcPr>
            <w:tcW w:w="218"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— </w:t>
            </w:r>
          </w:p>
        </w:tc>
        <w:tc>
          <w:tcPr>
            <w:tcW w:w="413" w:type="dxa"/>
            <w:tcBorders/>
            <w:shd w:fill="CCEEFF" w:val="clear"/>
            <w:vAlign w:val="bottom"/>
          </w:tcPr>
          <w:p>
            <w:pPr>
              <w:pStyle w:val="TableContents"/>
              <w:bidi w:val="0"/>
              <w:spacing w:before="0" w:after="283"/>
              <w:jc w:val="left"/>
              <w:rPr/>
            </w:pPr>
            <w:r>
              <w:rPr/>
              <w:t> </w:t>
            </w:r>
          </w:p>
        </w:tc>
      </w:tr>
      <w:tr>
        <w:trPr/>
        <w:tc>
          <w:tcPr>
            <w:tcW w:w="3394" w:type="dxa"/>
            <w:tcBorders/>
          </w:tcPr>
          <w:p>
            <w:pPr>
              <w:pStyle w:val="TableContents"/>
              <w:bidi w:val="0"/>
              <w:spacing w:before="0" w:after="0"/>
              <w:jc w:val="left"/>
              <w:rPr>
                <w:rFonts w:ascii="Times New Roman" w:hAnsi="Times New Roman"/>
                <w:sz w:val="20"/>
              </w:rPr>
            </w:pPr>
            <w:r>
              <w:rPr>
                <w:rFonts w:ascii="Times New Roman" w:hAnsi="Times New Roman"/>
                <w:sz w:val="20"/>
              </w:rPr>
              <w:t>(+) Aircraft leasing(2)</w:t>
            </w:r>
          </w:p>
        </w:tc>
        <w:tc>
          <w:tcPr>
            <w:tcW w:w="14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pPr>
            <w:r>
              <w:rPr/>
              <w:t>4</w:t>
            </w:r>
          </w:p>
        </w:tc>
        <w:tc>
          <w:tcPr>
            <w:tcW w:w="24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pPr>
            <w:r>
              <w:rPr/>
              <w:t>3</w:t>
            </w:r>
          </w:p>
        </w:tc>
        <w:tc>
          <w:tcPr>
            <w:tcW w:w="24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17.7</w:t>
            </w:r>
          </w:p>
        </w:tc>
        <w:tc>
          <w:tcPr>
            <w:tcW w:w="40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right"/>
              <w:rPr/>
            </w:pPr>
            <w:r>
              <w:rPr/>
              <w:t>8</w:t>
            </w:r>
          </w:p>
        </w:tc>
        <w:tc>
          <w:tcPr>
            <w:tcW w:w="21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right"/>
              <w:rPr/>
            </w:pPr>
            <w:r>
              <w:rPr/>
              <w:t>8</w:t>
            </w:r>
          </w:p>
        </w:tc>
        <w:tc>
          <w:tcPr>
            <w:tcW w:w="21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0.9</w:t>
            </w:r>
          </w:p>
        </w:tc>
        <w:tc>
          <w:tcPr>
            <w:tcW w:w="413" w:type="dxa"/>
            <w:tcBorders/>
            <w:vAlign w:val="bottom"/>
          </w:tcPr>
          <w:p>
            <w:pPr>
              <w:pStyle w:val="TableContents"/>
              <w:bidi w:val="0"/>
              <w:spacing w:before="0" w:after="283"/>
              <w:jc w:val="left"/>
              <w:rPr/>
            </w:pPr>
            <w:r>
              <w:rPr/>
              <w:t>% </w:t>
            </w:r>
          </w:p>
        </w:tc>
      </w:tr>
      <w:tr>
        <w:trPr/>
        <w:tc>
          <w:tcPr>
            <w:tcW w:w="33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EBITDAR(3)</w:t>
            </w:r>
          </w:p>
        </w:tc>
        <w:tc>
          <w:tcPr>
            <w:tcW w:w="14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264</w:t>
            </w:r>
          </w:p>
        </w:tc>
        <w:tc>
          <w:tcPr>
            <w:tcW w:w="244"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410</w:t>
            </w:r>
          </w:p>
        </w:tc>
        <w:tc>
          <w:tcPr>
            <w:tcW w:w="24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b/>
              </w:rPr>
            </w:pPr>
            <w:r>
              <w:rPr>
                <w:b/>
              </w:rPr>
              <w:t>(35.5</w:t>
            </w:r>
          </w:p>
        </w:tc>
        <w:tc>
          <w:tcPr>
            <w:tcW w:w="401" w:type="dxa"/>
            <w:tcBorders/>
            <w:shd w:fill="CCEEFF" w:val="clear"/>
            <w:vAlign w:val="bottom"/>
          </w:tcPr>
          <w:p>
            <w:pPr>
              <w:pStyle w:val="TableContents"/>
              <w:bidi w:val="0"/>
              <w:spacing w:before="0" w:after="283"/>
              <w:jc w:val="left"/>
              <w:rPr>
                <w:b/>
              </w:rPr>
            </w:pPr>
            <w:r>
              <w:rPr>
                <w:b/>
              </w:rPr>
              <w:t>%) </w:t>
            </w:r>
          </w:p>
        </w:tc>
        <w:tc>
          <w:tcPr>
            <w:tcW w:w="8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b/>
              </w:rPr>
            </w:pPr>
            <w:r>
              <w:rPr>
                <w:b/>
              </w:rPr>
              <w:t>600</w:t>
            </w:r>
          </w:p>
        </w:tc>
        <w:tc>
          <w:tcPr>
            <w:tcW w:w="21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b/>
              </w:rPr>
            </w:pPr>
            <w:r>
              <w:rPr>
                <w:b/>
              </w:rPr>
              <w:t>729</w:t>
            </w:r>
          </w:p>
        </w:tc>
        <w:tc>
          <w:tcPr>
            <w:tcW w:w="218"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b/>
              </w:rPr>
            </w:pPr>
            <w:r>
              <w:rPr>
                <w:b/>
              </w:rPr>
              <w:t>(17.7</w:t>
            </w:r>
          </w:p>
        </w:tc>
        <w:tc>
          <w:tcPr>
            <w:tcW w:w="413" w:type="dxa"/>
            <w:tcBorders/>
            <w:shd w:fill="CCEEFF" w:val="clear"/>
            <w:vAlign w:val="bottom"/>
          </w:tcPr>
          <w:p>
            <w:pPr>
              <w:pStyle w:val="TableContents"/>
              <w:bidi w:val="0"/>
              <w:spacing w:before="0" w:after="283"/>
              <w:jc w:val="left"/>
              <w:rPr>
                <w:b/>
              </w:rPr>
            </w:pPr>
            <w:r>
              <w:rPr>
                <w:b/>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Figures may not sum to total due to rounding.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i/>
              </w:rPr>
            </w:pPr>
            <w:r>
              <w:rPr>
                <w:i/>
              </w:rPr>
              <w:t>1) </w:t>
            </w:r>
          </w:p>
        </w:tc>
        <w:tc>
          <w:tcPr>
            <w:tcW w:w="9800"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Depreciation and amortization expense as presented in our profit or loss. 2) Aircraft leasing is comprised of short-term rentals of flight equipment, including subject to PBH period. 3) Adjusted EBITDAR is a non-IFRS measure and has limitations as analytical tools, and you should not consider them in isolation, or as a substitute for analysis of the Company’s results as reported under IFRS.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71"/>
        <w:gridCol w:w="210"/>
        <w:gridCol w:w="193"/>
        <w:gridCol w:w="1807"/>
        <w:gridCol w:w="60"/>
        <w:gridCol w:w="210"/>
        <w:gridCol w:w="245"/>
        <w:gridCol w:w="2296"/>
        <w:gridCol w:w="63"/>
      </w:tblGrid>
      <w:tr>
        <w:trPr/>
        <w:tc>
          <w:tcPr>
            <w:tcW w:w="2671"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Adjusted net debt reconciliation</w:t>
            </w:r>
          </w:p>
        </w:tc>
        <w:tc>
          <w:tcPr>
            <w:tcW w:w="210" w:type="dxa"/>
            <w:tcBorders/>
            <w:vAlign w:val="bottom"/>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June 30, 2026</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63" w:type="dxa"/>
            <w:tcBorders/>
            <w:vAlign w:val="bottom"/>
          </w:tcPr>
          <w:p>
            <w:pPr>
              <w:pStyle w:val="TableContents"/>
              <w:bidi w:val="0"/>
              <w:spacing w:before="0" w:after="283"/>
              <w:jc w:val="left"/>
              <w:rPr/>
            </w:pPr>
            <w:r>
              <w:rPr/>
              <w:t> </w:t>
            </w:r>
          </w:p>
        </w:tc>
      </w:tr>
      <w:tr>
        <w:trPr/>
        <w:tc>
          <w:tcPr>
            <w:tcW w:w="26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loans and borrowings, including leases</w:t>
            </w:r>
          </w:p>
        </w:tc>
        <w:tc>
          <w:tcPr>
            <w:tcW w:w="21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07" w:type="dxa"/>
            <w:tcBorders/>
            <w:shd w:fill="CCEEFF" w:val="clear"/>
            <w:vAlign w:val="bottom"/>
          </w:tcPr>
          <w:p>
            <w:pPr>
              <w:pStyle w:val="TableContents"/>
              <w:bidi w:val="0"/>
              <w:spacing w:before="0" w:after="283"/>
              <w:jc w:val="right"/>
              <w:rPr/>
            </w:pPr>
            <w:r>
              <w:rPr/>
              <w:t>4,069</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296" w:type="dxa"/>
            <w:tcBorders/>
            <w:shd w:fill="CCEEFF" w:val="clear"/>
            <w:vAlign w:val="bottom"/>
          </w:tcPr>
          <w:p>
            <w:pPr>
              <w:pStyle w:val="TableContents"/>
              <w:bidi w:val="0"/>
              <w:spacing w:before="0" w:after="283"/>
              <w:jc w:val="right"/>
              <w:rPr/>
            </w:pPr>
            <w:r>
              <w:rPr/>
              <w:t>4,055</w:t>
            </w:r>
          </w:p>
        </w:tc>
        <w:tc>
          <w:tcPr>
            <w:tcW w:w="63" w:type="dxa"/>
            <w:tcBorders/>
            <w:shd w:fill="CCEEFF" w:val="clear"/>
            <w:vAlign w:val="bottom"/>
          </w:tcPr>
          <w:p>
            <w:pPr>
              <w:pStyle w:val="TableContents"/>
              <w:bidi w:val="0"/>
              <w:spacing w:before="0" w:after="283"/>
              <w:jc w:val="left"/>
              <w:rPr/>
            </w:pPr>
            <w:r>
              <w:rPr/>
              <w:t> </w:t>
            </w:r>
          </w:p>
        </w:tc>
      </w:tr>
      <w:tr>
        <w:trPr/>
        <w:tc>
          <w:tcPr>
            <w:tcW w:w="2671" w:type="dxa"/>
            <w:tcBorders/>
          </w:tcPr>
          <w:p>
            <w:pPr>
              <w:pStyle w:val="TableContents"/>
              <w:bidi w:val="0"/>
              <w:spacing w:before="0" w:after="0"/>
              <w:jc w:val="left"/>
              <w:rPr>
                <w:rFonts w:ascii="Times New Roman" w:hAnsi="Times New Roman"/>
                <w:sz w:val="20"/>
              </w:rPr>
            </w:pPr>
            <w:r>
              <w:rPr>
                <w:rFonts w:ascii="Times New Roman" w:hAnsi="Times New Roman"/>
                <w:sz w:val="20"/>
              </w:rPr>
              <w:t>(-) Cash and cash equivalents</w:t>
            </w:r>
          </w:p>
        </w:tc>
        <w:tc>
          <w:tcPr>
            <w:tcW w:w="21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07" w:type="dxa"/>
            <w:tcBorders/>
            <w:vAlign w:val="bottom"/>
          </w:tcPr>
          <w:p>
            <w:pPr>
              <w:pStyle w:val="TableContents"/>
              <w:bidi w:val="0"/>
              <w:spacing w:before="0" w:after="283"/>
              <w:jc w:val="right"/>
              <w:rPr/>
            </w:pPr>
            <w:r>
              <w:rPr/>
              <w:t>1,037</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296" w:type="dxa"/>
            <w:tcBorders/>
            <w:vAlign w:val="bottom"/>
          </w:tcPr>
          <w:p>
            <w:pPr>
              <w:pStyle w:val="TableContents"/>
              <w:bidi w:val="0"/>
              <w:spacing w:before="0" w:after="283"/>
              <w:jc w:val="right"/>
              <w:rPr/>
            </w:pPr>
            <w:r>
              <w:rPr/>
              <w:t>1,024</w:t>
            </w:r>
          </w:p>
        </w:tc>
        <w:tc>
          <w:tcPr>
            <w:tcW w:w="63" w:type="dxa"/>
            <w:tcBorders/>
            <w:vAlign w:val="bottom"/>
          </w:tcPr>
          <w:p>
            <w:pPr>
              <w:pStyle w:val="TableContents"/>
              <w:bidi w:val="0"/>
              <w:spacing w:before="0" w:after="283"/>
              <w:jc w:val="left"/>
              <w:rPr/>
            </w:pPr>
            <w:r>
              <w:rPr/>
              <w:t> </w:t>
            </w:r>
          </w:p>
        </w:tc>
      </w:tr>
      <w:tr>
        <w:trPr/>
        <w:tc>
          <w:tcPr>
            <w:tcW w:w="26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Adjusted net debt (1)</w:t>
            </w:r>
          </w:p>
        </w:tc>
        <w:tc>
          <w:tcPr>
            <w:tcW w:w="21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07" w:type="dxa"/>
            <w:tcBorders/>
            <w:shd w:fill="CCEEFF" w:val="clear"/>
            <w:vAlign w:val="bottom"/>
          </w:tcPr>
          <w:p>
            <w:pPr>
              <w:pStyle w:val="TableContents"/>
              <w:bidi w:val="0"/>
              <w:spacing w:before="0" w:after="283"/>
              <w:jc w:val="right"/>
              <w:rPr>
                <w:b/>
              </w:rPr>
            </w:pPr>
            <w:r>
              <w:rPr>
                <w:b/>
              </w:rPr>
              <w:t>3,032</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296" w:type="dxa"/>
            <w:tcBorders/>
            <w:shd w:fill="CCEEFF" w:val="clear"/>
            <w:vAlign w:val="bottom"/>
          </w:tcPr>
          <w:p>
            <w:pPr>
              <w:pStyle w:val="TableContents"/>
              <w:bidi w:val="0"/>
              <w:spacing w:before="0" w:after="283"/>
              <w:jc w:val="right"/>
              <w:rPr>
                <w:b/>
              </w:rPr>
            </w:pPr>
            <w:r>
              <w:rPr>
                <w:b/>
              </w:rPr>
              <w:t>3,031</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Figures may not sum to total due to rounding.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1) </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Adjusted Net Debt is a non-IFRS measure and has limitations as an analytical tool, and you should not consider it in isolation, or as a substitute for analysis of the Company’s results as reported under IFRS. </w:t>
            </w:r>
          </w:p>
        </w:tc>
      </w:tr>
    </w:tbl>
    <w:p>
      <w:pPr>
        <w:pStyle w:val="TextBody"/>
        <w:bidi w:val="0"/>
        <w:spacing w:before="0" w:after="0"/>
        <w:jc w:val="left"/>
        <w:rPr/>
      </w:pPr>
      <w:r>
        <w:rPr/>
        <w:t> </w:t>
      </w:r>
    </w:p>
    <w:tbl>
      <w:tblPr>
        <w:tblW w:w="9285" w:type="dxa"/>
        <w:jc w:val="center"/>
        <w:tblInd w:w="0" w:type="dxa"/>
        <w:tblLayout w:type="fixed"/>
        <w:tblCellMar>
          <w:top w:w="0" w:type="dxa"/>
          <w:left w:w="0" w:type="dxa"/>
          <w:bottom w:w="0" w:type="dxa"/>
          <w:right w:w="0" w:type="dxa"/>
        </w:tblCellMar>
      </w:tblPr>
      <w:tblGrid>
        <w:gridCol w:w="4385"/>
        <w:gridCol w:w="120"/>
        <w:gridCol w:w="193"/>
        <w:gridCol w:w="1807"/>
        <w:gridCol w:w="60"/>
        <w:gridCol w:w="120"/>
        <w:gridCol w:w="245"/>
        <w:gridCol w:w="2295"/>
        <w:gridCol w:w="60"/>
      </w:tblGrid>
      <w:tr>
        <w:trPr/>
        <w:tc>
          <w:tcPr>
            <w:tcW w:w="43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4385"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Net leverage ratio reconciliation</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(Adjusted net debt / Last twelve months adjusted EBITDAR)</w:t>
            </w:r>
          </w:p>
        </w:tc>
        <w:tc>
          <w:tcPr>
            <w:tcW w:w="120" w:type="dxa"/>
            <w:tcBorders/>
            <w:vAlign w:val="bottom"/>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June 30, 2026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60" w:type="dxa"/>
            <w:tcBorders/>
            <w:vAlign w:val="bottom"/>
          </w:tcPr>
          <w:p>
            <w:pPr>
              <w:pStyle w:val="TableContents"/>
              <w:bidi w:val="0"/>
              <w:spacing w:before="0" w:after="283"/>
              <w:jc w:val="left"/>
              <w:rPr/>
            </w:pPr>
            <w:r>
              <w:rPr/>
              <w:t> </w:t>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debt (1)</w:t>
            </w:r>
          </w:p>
        </w:tc>
        <w:tc>
          <w:tcPr>
            <w:tcW w:w="12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07" w:type="dxa"/>
            <w:tcBorders/>
            <w:shd w:fill="CCEEFF" w:val="clear"/>
            <w:vAlign w:val="bottom"/>
          </w:tcPr>
          <w:p>
            <w:pPr>
              <w:pStyle w:val="TableContents"/>
              <w:bidi w:val="0"/>
              <w:spacing w:before="0" w:after="283"/>
              <w:jc w:val="right"/>
              <w:rPr/>
            </w:pPr>
            <w:r>
              <w:rPr/>
              <w:t>3,032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295" w:type="dxa"/>
            <w:tcBorders/>
            <w:shd w:fill="CCEEFF" w:val="clear"/>
            <w:vAlign w:val="bottom"/>
          </w:tcPr>
          <w:p>
            <w:pPr>
              <w:pStyle w:val="TableContents"/>
              <w:bidi w:val="0"/>
              <w:spacing w:before="0" w:after="283"/>
              <w:jc w:val="right"/>
              <w:rPr/>
            </w:pPr>
            <w:r>
              <w:rPr/>
              <w:t>3,031</w:t>
            </w:r>
          </w:p>
        </w:tc>
        <w:tc>
          <w:tcPr>
            <w:tcW w:w="60" w:type="dxa"/>
            <w:tcBorders/>
            <w:shd w:fill="CCEEFF" w:val="clear"/>
            <w:vAlign w:val="bottom"/>
          </w:tcPr>
          <w:p>
            <w:pPr>
              <w:pStyle w:val="TableContents"/>
              <w:bidi w:val="0"/>
              <w:spacing w:before="0" w:after="283"/>
              <w:jc w:val="left"/>
              <w:rPr/>
            </w:pPr>
            <w:r>
              <w:rPr/>
              <w:t> </w:t>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Last twelve months adjusted EBITDAR (1)</w:t>
            </w:r>
          </w:p>
        </w:tc>
        <w:tc>
          <w:tcPr>
            <w:tcW w:w="12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07" w:type="dxa"/>
            <w:tcBorders/>
            <w:vAlign w:val="bottom"/>
          </w:tcPr>
          <w:p>
            <w:pPr>
              <w:pStyle w:val="TableContents"/>
              <w:bidi w:val="0"/>
              <w:spacing w:before="0" w:after="283"/>
              <w:jc w:val="right"/>
              <w:rPr/>
            </w:pPr>
            <w:r>
              <w:rPr/>
              <w:t>1,543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295" w:type="dxa"/>
            <w:tcBorders/>
            <w:vAlign w:val="bottom"/>
          </w:tcPr>
          <w:p>
            <w:pPr>
              <w:pStyle w:val="TableContents"/>
              <w:bidi w:val="0"/>
              <w:spacing w:before="0" w:after="283"/>
              <w:jc w:val="right"/>
              <w:rPr/>
            </w:pPr>
            <w:r>
              <w:rPr/>
              <w:t>1,672</w:t>
            </w:r>
          </w:p>
        </w:tc>
        <w:tc>
          <w:tcPr>
            <w:tcW w:w="60" w:type="dxa"/>
            <w:tcBorders/>
            <w:vAlign w:val="bottom"/>
          </w:tcPr>
          <w:p>
            <w:pPr>
              <w:pStyle w:val="TableContents"/>
              <w:bidi w:val="0"/>
              <w:spacing w:before="0" w:after="283"/>
              <w:jc w:val="left"/>
              <w:rPr/>
            </w:pPr>
            <w:r>
              <w:rPr/>
              <w:t> </w:t>
            </w:r>
          </w:p>
        </w:tc>
      </w:tr>
      <w:tr>
        <w:trPr/>
        <w:tc>
          <w:tcPr>
            <w:tcW w:w="43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Net leverage ratio(1)</w:t>
            </w:r>
          </w:p>
        </w:tc>
        <w:tc>
          <w:tcPr>
            <w:tcW w:w="12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07" w:type="dxa"/>
            <w:tcBorders/>
            <w:shd w:fill="CCEEFF" w:val="clear"/>
            <w:vAlign w:val="bottom"/>
          </w:tcPr>
          <w:p>
            <w:pPr>
              <w:pStyle w:val="TableContents"/>
              <w:bidi w:val="0"/>
              <w:spacing w:before="0" w:after="283"/>
              <w:jc w:val="right"/>
              <w:rPr>
                <w:b/>
              </w:rPr>
            </w:pPr>
            <w:r>
              <w:rPr>
                <w:b/>
              </w:rPr>
              <w:t>1.96x</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295" w:type="dxa"/>
            <w:tcBorders/>
            <w:shd w:fill="CCEEFF" w:val="clear"/>
            <w:vAlign w:val="bottom"/>
          </w:tcPr>
          <w:p>
            <w:pPr>
              <w:pStyle w:val="TableContents"/>
              <w:bidi w:val="0"/>
              <w:spacing w:before="0" w:after="283"/>
              <w:jc w:val="right"/>
              <w:rPr>
                <w:b/>
              </w:rPr>
            </w:pPr>
            <w:r>
              <w:rPr>
                <w:b/>
              </w:rPr>
              <w:t>1.81x</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Figures may not sum to total due to rounding.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1) </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Adjusted Net Debt, Adjusted EBITDAR and Net Leverage Ratio are non-IFRS measures and have limitations as analytical tools, and you should not consider them in isolation, or as a substitute for analysis of the Company’s results as reported under IFRS.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p>
      <w:pPr>
        <w:pStyle w:val="TextBody"/>
        <w:bidi w:val="0"/>
        <w:spacing w:before="0" w:after="0"/>
        <w:jc w:val="right"/>
        <w:rPr>
          <w:rFonts w:ascii="Times New Roman" w:hAnsi="Times New Roman"/>
          <w:b/>
          <w:sz w:val="20"/>
        </w:rPr>
      </w:pPr>
      <w:bookmarkStart w:id="4" w:name="d112634dex992.htm"/>
      <w:bookmarkStart w:id="5" w:name="ksd112634dex992"/>
      <w:bookmarkEnd w:id="4"/>
      <w:bookmarkEnd w:id="5"/>
      <w:r>
        <w:rPr>
          <w:rFonts w:ascii="Times New Roman" w:hAnsi="Times New Roman"/>
          <w:b/>
          <w:sz w:val="20"/>
        </w:rPr>
        <w:t xml:space="preserve">Exhibit 99.2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18"/>
        <w:gridCol w:w="98"/>
        <w:gridCol w:w="5992"/>
        <w:gridCol w:w="138"/>
        <w:gridCol w:w="2059"/>
      </w:tblGrid>
      <w:tr>
        <w:trPr/>
        <w:tc>
          <w:tcPr>
            <w:tcW w:w="1918"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5992"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r>
      <w:tr>
        <w:trPr/>
        <w:tc>
          <w:tcPr>
            <w:tcW w:w="1918"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992" w:type="dxa"/>
            <w:tcBorders/>
          </w:tcPr>
          <w:p>
            <w:pPr>
              <w:pStyle w:val="TableContents"/>
              <w:bidi w:val="0"/>
              <w:spacing w:before="0" w:after="283"/>
              <w:jc w:val="center"/>
              <w:rPr/>
            </w:pPr>
            <w:r>
              <w:rPr/>
              <w:drawing>
                <wp:inline distT="0" distB="0" distL="0" distR="0">
                  <wp:extent cx="3790950" cy="952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790950" cy="952500"/>
                          </a:xfrm>
                          <a:prstGeom prst="rect">
                            <a:avLst/>
                          </a:prstGeom>
                        </pic:spPr>
                      </pic:pic>
                    </a:graphicData>
                  </a:graphic>
                </wp:inline>
              </w:drawing>
            </w:r>
            <w:r>
              <w:rPr/>
              <w:t xml:space="preserve"> </w:t>
            </w:r>
          </w:p>
        </w:tc>
        <w:tc>
          <w:tcPr>
            <w:tcW w:w="138" w:type="dxa"/>
            <w:tcBorders/>
            <w:vAlign w:val="bottom"/>
          </w:tcPr>
          <w:p>
            <w:pPr>
              <w:pStyle w:val="TableContents"/>
              <w:bidi w:val="0"/>
              <w:spacing w:before="0" w:after="283"/>
              <w:jc w:val="left"/>
              <w:rPr/>
            </w:pPr>
            <w:r>
              <w:rPr/>
              <w:t>  </w:t>
            </w:r>
          </w:p>
        </w:tc>
        <w:tc>
          <w:tcPr>
            <w:tcW w:w="2059" w:type="dxa"/>
            <w:tcBorders/>
          </w:tcPr>
          <w:p>
            <w:pPr>
              <w:pStyle w:val="TableContents"/>
              <w:bidi w:val="0"/>
              <w:spacing w:before="0" w:after="283"/>
              <w:jc w:val="right"/>
              <w:rPr/>
            </w:pPr>
            <w:r>
              <w:rPr/>
              <w:drawing>
                <wp:inline distT="0" distB="0" distL="0" distR="0">
                  <wp:extent cx="252730" cy="88519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52730" cy="885190"/>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Aeroméxico April 2026 Traffic Results </w:t>
      </w:r>
    </w:p>
    <w:p>
      <w:pPr>
        <w:pStyle w:val="TextBody"/>
        <w:bidi w:val="0"/>
        <w:spacing w:before="240" w:after="0"/>
        <w:jc w:val="left"/>
        <w:rPr>
          <w:rFonts w:ascii="Times New Roman" w:hAnsi="Times New Roman"/>
          <w:sz w:val="20"/>
        </w:rPr>
      </w:pPr>
      <w:r>
        <w:rPr>
          <w:rFonts w:ascii="Times New Roman" w:hAnsi="Times New Roman"/>
          <w:sz w:val="20"/>
        </w:rPr>
        <w:t xml:space="preserve">Mexico City, Mexico, May 7, 2026 – Grupo Aeroméxico S.A.B. de C.V. (NYSE: AERO &amp; BMV: AERO) (“Aeroméxico”) reports its April 2026 operational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Grupo Aeroméxico transported 2 million and 61 thousand passengers in April 2026, a 1.3% year-over-year decrease. International passengers decreased by 0.7%, while domestic passengers decreased by 1.5%.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Aeroméxico’s total capacity, measured in available seat miles (ASMs), increased by 0.2% year-over-year. International ASMs increased by 0.8%, while domestic capacity decreased by 1.0%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Demand, measured in passenger miles (RPMs), increased by 0.4% year-over-year. International demand increased by 1.7%, while domestic demand decreased by 2.4%, both figures compared to April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Aeroméxico’s April 2026 load factor was 86.1%, a 0.2 p.p. increase as compared to April 2025. International load factor increased by 0.8 p.p., and domestic load factor decreased by 1.2 p.p. </w:t>
            </w:r>
          </w:p>
        </w:tc>
      </w:tr>
    </w:tbl>
    <w:p>
      <w:pPr>
        <w:pStyle w:val="TextBody"/>
        <w:bidi w:val="0"/>
        <w:spacing w:before="240" w:after="0"/>
        <w:jc w:val="left"/>
        <w:rPr>
          <w:rFonts w:ascii="Times New Roman" w:hAnsi="Times New Roman"/>
          <w:sz w:val="20"/>
        </w:rPr>
      </w:pPr>
      <w:r>
        <w:rPr>
          <w:rFonts w:ascii="Times New Roman" w:hAnsi="Times New Roman"/>
          <w:b/>
          <w:sz w:val="20"/>
        </w:rPr>
        <w:t>Andrés Conesa, Chief Executive Officer stated</w:t>
      </w:r>
      <w:r>
        <w:rPr>
          <w:rFonts w:ascii="Times New Roman" w:hAnsi="Times New Roman"/>
          <w:b/>
          <w:i/>
          <w:sz w:val="20"/>
        </w:rPr>
        <w:t>:</w:t>
      </w:r>
      <w:r>
        <w:rPr>
          <w:rFonts w:ascii="Times New Roman" w:hAnsi="Times New Roman"/>
          <w:sz w:val="20"/>
        </w:rPr>
        <w:t xml:space="preserve"> “April traffic results reinforced the positive demand trends year to date. The strength of our network, combined with disciplined execution, enabled us to maintain stable load factors versus last year, despite a challenging geopolitical environment. With fuel prices remaining elevated, we continue to optimize capacity by prioritizing international markets, where demand and pricing dynamics remain more favorable, supporting margin resilience and protecting profitability.”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12"/>
        <w:gridCol w:w="179"/>
        <w:gridCol w:w="60"/>
        <w:gridCol w:w="563"/>
        <w:gridCol w:w="320"/>
        <w:gridCol w:w="122"/>
        <w:gridCol w:w="60"/>
        <w:gridCol w:w="563"/>
        <w:gridCol w:w="320"/>
        <w:gridCol w:w="122"/>
        <w:gridCol w:w="88"/>
        <w:gridCol w:w="607"/>
        <w:gridCol w:w="319"/>
        <w:gridCol w:w="122"/>
        <w:gridCol w:w="60"/>
        <w:gridCol w:w="710"/>
        <w:gridCol w:w="320"/>
        <w:gridCol w:w="122"/>
        <w:gridCol w:w="60"/>
        <w:gridCol w:w="710"/>
        <w:gridCol w:w="320"/>
        <w:gridCol w:w="122"/>
        <w:gridCol w:w="88"/>
        <w:gridCol w:w="607"/>
        <w:gridCol w:w="329"/>
      </w:tblGrid>
      <w:tr>
        <w:trPr/>
        <w:tc>
          <w:tcPr>
            <w:tcW w:w="3312"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31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82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April</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311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Cumulative to April</w:t>
            </w:r>
          </w:p>
        </w:tc>
        <w:tc>
          <w:tcPr>
            <w:tcW w:w="329" w:type="dxa"/>
            <w:tcBorders/>
            <w:vAlign w:val="bottom"/>
          </w:tcPr>
          <w:p>
            <w:pPr>
              <w:pStyle w:val="TableContents"/>
              <w:bidi w:val="0"/>
              <w:spacing w:before="0" w:after="283"/>
              <w:jc w:val="left"/>
              <w:rPr/>
            </w:pPr>
            <w:r>
              <w:rPr/>
              <w:t> </w:t>
            </w:r>
          </w:p>
        </w:tc>
      </w:tr>
      <w:tr>
        <w:trPr/>
        <w:tc>
          <w:tcPr>
            <w:tcW w:w="331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vs</w:t>
              <w:br/>
              <w:t>2025</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vs</w:t>
              <w:br/>
              <w:t>2025</w:t>
            </w:r>
          </w:p>
        </w:tc>
        <w:tc>
          <w:tcPr>
            <w:tcW w:w="329"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Passengers (itinerary + charter, thousands)</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r>
      <w:tr>
        <w:trPr/>
        <w:tc>
          <w:tcPr>
            <w:tcW w:w="3312"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1,368</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1,389</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-1.5</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5,160</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5,300</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-2.6</w:t>
            </w:r>
          </w:p>
        </w:tc>
        <w:tc>
          <w:tcPr>
            <w:tcW w:w="329"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693</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698</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-0.7</w:t>
            </w:r>
          </w:p>
        </w:tc>
        <w:tc>
          <w:tcPr>
            <w:tcW w:w="31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2,692</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2,666</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1.0</w:t>
            </w:r>
          </w:p>
        </w:tc>
        <w:tc>
          <w:tcPr>
            <w:tcW w:w="329" w:type="dxa"/>
            <w:tcBorders/>
            <w:shd w:fill="CCEEFF" w:val="clear"/>
            <w:vAlign w:val="bottom"/>
          </w:tcPr>
          <w:p>
            <w:pPr>
              <w:pStyle w:val="TableContents"/>
              <w:bidi w:val="0"/>
              <w:spacing w:before="0" w:after="283"/>
              <w:jc w:val="left"/>
              <w:rPr/>
            </w:pPr>
            <w:r>
              <w:rPr/>
              <w:t>% </w:t>
            </w:r>
          </w:p>
        </w:tc>
      </w:tr>
      <w:tr>
        <w:trPr/>
        <w:tc>
          <w:tcPr>
            <w:tcW w:w="33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2,061</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2,088</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-1.3</w:t>
            </w:r>
          </w:p>
        </w:tc>
        <w:tc>
          <w:tcPr>
            <w:tcW w:w="319"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7,852</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7,965</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-1.4</w:t>
            </w:r>
          </w:p>
        </w:tc>
        <w:tc>
          <w:tcPr>
            <w:tcW w:w="329" w:type="dxa"/>
            <w:tcBorders/>
            <w:vAlign w:val="bottom"/>
          </w:tcPr>
          <w:p>
            <w:pPr>
              <w:pStyle w:val="TableContents"/>
              <w:bidi w:val="0"/>
              <w:spacing w:before="0" w:after="283"/>
              <w:jc w:val="left"/>
              <w:rPr>
                <w:b/>
              </w:rPr>
            </w:pPr>
            <w:r>
              <w:rPr>
                <w:b/>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ASMs (itinerary + charter, millions)</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r>
      <w:tr>
        <w:trPr/>
        <w:tc>
          <w:tcPr>
            <w:tcW w:w="3312"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904</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913</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-1.0</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3,500</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3,583</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-2.3</w:t>
            </w:r>
          </w:p>
        </w:tc>
        <w:tc>
          <w:tcPr>
            <w:tcW w:w="329"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2,174</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2,157</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0.8</w:t>
            </w:r>
          </w:p>
        </w:tc>
        <w:tc>
          <w:tcPr>
            <w:tcW w:w="31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8,174</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8,184</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-0.1</w:t>
            </w:r>
          </w:p>
        </w:tc>
        <w:tc>
          <w:tcPr>
            <w:tcW w:w="329" w:type="dxa"/>
            <w:tcBorders/>
            <w:shd w:fill="CCEEFF" w:val="clear"/>
            <w:vAlign w:val="bottom"/>
          </w:tcPr>
          <w:p>
            <w:pPr>
              <w:pStyle w:val="TableContents"/>
              <w:bidi w:val="0"/>
              <w:spacing w:before="0" w:after="283"/>
              <w:jc w:val="left"/>
              <w:rPr/>
            </w:pPr>
            <w:r>
              <w:rPr/>
              <w:t>% </w:t>
            </w:r>
          </w:p>
        </w:tc>
      </w:tr>
      <w:tr>
        <w:trPr/>
        <w:tc>
          <w:tcPr>
            <w:tcW w:w="33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3,078</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3,071</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0.2</w:t>
            </w:r>
          </w:p>
        </w:tc>
        <w:tc>
          <w:tcPr>
            <w:tcW w:w="319"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11,674</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11,767</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-0.8</w:t>
            </w:r>
          </w:p>
        </w:tc>
        <w:tc>
          <w:tcPr>
            <w:tcW w:w="329" w:type="dxa"/>
            <w:tcBorders/>
            <w:vAlign w:val="bottom"/>
          </w:tcPr>
          <w:p>
            <w:pPr>
              <w:pStyle w:val="TableContents"/>
              <w:bidi w:val="0"/>
              <w:spacing w:before="0" w:after="283"/>
              <w:jc w:val="left"/>
              <w:rPr>
                <w:b/>
              </w:rPr>
            </w:pPr>
            <w:r>
              <w:rPr>
                <w:b/>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RPMs (itinerary + charter, millions)</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r>
      <w:tr>
        <w:trPr/>
        <w:tc>
          <w:tcPr>
            <w:tcW w:w="3312"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769</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788</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-2.4</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2,912</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2,998</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-2.9</w:t>
            </w:r>
          </w:p>
        </w:tc>
        <w:tc>
          <w:tcPr>
            <w:tcW w:w="329"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1,880</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1,849</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1.7</w:t>
            </w:r>
          </w:p>
        </w:tc>
        <w:tc>
          <w:tcPr>
            <w:tcW w:w="31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6,991</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6,797</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2.9</w:t>
            </w:r>
          </w:p>
        </w:tc>
        <w:tc>
          <w:tcPr>
            <w:tcW w:w="329" w:type="dxa"/>
            <w:tcBorders/>
            <w:shd w:fill="CCEEFF" w:val="clear"/>
            <w:vAlign w:val="bottom"/>
          </w:tcPr>
          <w:p>
            <w:pPr>
              <w:pStyle w:val="TableContents"/>
              <w:bidi w:val="0"/>
              <w:spacing w:before="0" w:after="283"/>
              <w:jc w:val="left"/>
              <w:rPr/>
            </w:pPr>
            <w:r>
              <w:rPr/>
              <w:t>% </w:t>
            </w:r>
          </w:p>
        </w:tc>
      </w:tr>
      <w:tr>
        <w:trPr/>
        <w:tc>
          <w:tcPr>
            <w:tcW w:w="33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2,649</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2,637</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0.4</w:t>
            </w:r>
          </w:p>
        </w:tc>
        <w:tc>
          <w:tcPr>
            <w:tcW w:w="319"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9,904</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9,795</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1.1</w:t>
            </w:r>
          </w:p>
        </w:tc>
        <w:tc>
          <w:tcPr>
            <w:tcW w:w="329" w:type="dxa"/>
            <w:tcBorders/>
            <w:vAlign w:val="bottom"/>
          </w:tcPr>
          <w:p>
            <w:pPr>
              <w:pStyle w:val="TableContents"/>
              <w:bidi w:val="0"/>
              <w:spacing w:before="0" w:after="283"/>
              <w:jc w:val="left"/>
              <w:rPr>
                <w:b/>
              </w:rPr>
            </w:pPr>
            <w:r>
              <w:rPr>
                <w:b/>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Load Factor (itinerary, %)</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b/>
              </w:rPr>
            </w:pPr>
            <w:r>
              <w:rPr>
                <w:b/>
              </w:rPr>
              <w:t>p.p.</w:t>
            </w:r>
          </w:p>
        </w:tc>
        <w:tc>
          <w:tcPr>
            <w:tcW w:w="31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b/>
              </w:rPr>
            </w:pPr>
            <w:r>
              <w:rPr>
                <w:b/>
              </w:rPr>
              <w:t>p.p.</w:t>
            </w:r>
          </w:p>
        </w:tc>
        <w:tc>
          <w:tcPr>
            <w:tcW w:w="329" w:type="dxa"/>
            <w:tcBorders/>
            <w:shd w:fill="CCEEFF" w:val="clear"/>
            <w:vAlign w:val="bottom"/>
          </w:tcPr>
          <w:p>
            <w:pPr>
              <w:pStyle w:val="TableContents"/>
              <w:bidi w:val="0"/>
              <w:spacing w:before="0" w:after="283"/>
              <w:jc w:val="left"/>
              <w:rPr/>
            </w:pPr>
            <w:r>
              <w:rPr/>
              <w:t> </w:t>
            </w:r>
          </w:p>
        </w:tc>
      </w:tr>
      <w:tr>
        <w:trPr/>
        <w:tc>
          <w:tcPr>
            <w:tcW w:w="3312"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85.1</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86.3</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-1.2</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83.2</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83.7</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-0.4</w:t>
            </w:r>
          </w:p>
        </w:tc>
        <w:tc>
          <w:tcPr>
            <w:tcW w:w="329"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86.5</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85.7</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0.8</w:t>
            </w:r>
          </w:p>
        </w:tc>
        <w:tc>
          <w:tcPr>
            <w:tcW w:w="31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85.5</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83.0</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2.5</w:t>
            </w:r>
          </w:p>
        </w:tc>
        <w:tc>
          <w:tcPr>
            <w:tcW w:w="329" w:type="dxa"/>
            <w:tcBorders/>
            <w:shd w:fill="CCEEFF" w:val="clear"/>
            <w:vAlign w:val="bottom"/>
          </w:tcPr>
          <w:p>
            <w:pPr>
              <w:pStyle w:val="TableContents"/>
              <w:bidi w:val="0"/>
              <w:spacing w:before="0" w:after="283"/>
              <w:jc w:val="left"/>
              <w:rPr/>
            </w:pPr>
            <w:r>
              <w:rPr/>
              <w:t> </w:t>
            </w:r>
          </w:p>
        </w:tc>
      </w:tr>
      <w:tr>
        <w:trPr/>
        <w:tc>
          <w:tcPr>
            <w:tcW w:w="33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86.1</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85.9</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0.2</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84.9</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83.2</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1.6</w:t>
            </w:r>
          </w:p>
        </w:tc>
        <w:tc>
          <w:tcPr>
            <w:tcW w:w="32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Figures may not sum to total due to rounding.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057275" cy="2571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57275" cy="2571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The information included within this report has not been audited and does not provide information on the Company’s future performance. Aeromexico’s future performance depends on many factors and it cannot be inferred that any period’s performance or its year-over-year comparison will be an indicator of similar future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Glossary: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u w:val="single"/>
              </w:rPr>
              <w:t>“</w:t>
            </w:r>
            <w:r>
              <w:rPr>
                <w:rFonts w:ascii="Times New Roman" w:hAnsi="Times New Roman"/>
                <w:sz w:val="20"/>
                <w:u w:val="single"/>
              </w:rPr>
              <w:t>RPMs”</w:t>
            </w:r>
            <w:r>
              <w:rPr>
                <w:rFonts w:ascii="Times New Roman" w:hAnsi="Times New Roman"/>
                <w:sz w:val="20"/>
              </w:rPr>
              <w:t xml:space="preserve"> Revenue Passenger Miles represent one revenue-passenger transported one mile. This includes itinerary and charter flights. The total RPMs equals the number of revenue-passengers transported multiplied by the total distance flown.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u w:val="single"/>
              </w:rPr>
              <w:t>“</w:t>
            </w:r>
            <w:r>
              <w:rPr>
                <w:rFonts w:ascii="Times New Roman" w:hAnsi="Times New Roman"/>
                <w:sz w:val="20"/>
                <w:u w:val="single"/>
              </w:rPr>
              <w:t>ASMs”</w:t>
            </w:r>
            <w:r>
              <w:rPr>
                <w:rFonts w:ascii="Times New Roman" w:hAnsi="Times New Roman"/>
                <w:sz w:val="20"/>
              </w:rPr>
              <w:t xml:space="preserve"> Available Seat Miles represent the number of available seats multiplied by the distance flown. This metric is an indicator of the airline’s capacity. It equals one seat offered for one mile, whether the seat is used.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u w:val="single"/>
              </w:rPr>
              <w:t>“</w:t>
            </w:r>
            <w:r>
              <w:rPr>
                <w:rFonts w:ascii="Times New Roman" w:hAnsi="Times New Roman"/>
                <w:sz w:val="20"/>
                <w:u w:val="single"/>
              </w:rPr>
              <w:t>Load Factor”</w:t>
            </w:r>
            <w:r>
              <w:rPr>
                <w:rFonts w:ascii="Times New Roman" w:hAnsi="Times New Roman"/>
                <w:sz w:val="20"/>
              </w:rPr>
              <w:t xml:space="preserve"> equals the number of passengers transported as a percentage of the number of seats offered. It is a measure of the airline’s capacity utilization. This metric considers the total passengers transported and total seats available in itinerary flights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u w:val="single"/>
              </w:rPr>
              <w:t>“</w:t>
            </w:r>
            <w:r>
              <w:rPr>
                <w:rFonts w:ascii="Times New Roman" w:hAnsi="Times New Roman"/>
                <w:sz w:val="20"/>
                <w:u w:val="single"/>
              </w:rPr>
              <w:t>Passengers”</w:t>
            </w:r>
            <w:r>
              <w:rPr>
                <w:rFonts w:ascii="Times New Roman" w:hAnsi="Times New Roman"/>
                <w:sz w:val="20"/>
              </w:rPr>
              <w:t xml:space="preserve"> refers to the total number of passengers transported by the airline.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This press release contains certain forward-looking statements that reflect the current views and/or expectations of the Company and its management with respect to its performance, business and future events. We use words such as “believe,” “anticipate,” “plan,” “expect,”, “intend,” “target,” “estimate,” “project,” “predict,” “forecast,” “guideline,” “should” and other similar expressions to identify forward-looking statements, but they are not the only way we identify such statements. Such statements are subject to a number of risks, uncertainties and assumptions. We caution you that a number of important factors could cause actual results to differ materially from the plans, objectives, expectations, estimates and intentions expressed in this release. The Company is under no obligation and expressly disclaims any intention or obligation to update or revise any forward-looking statements, whether as a result of new information, future events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About Grupo Aeroméxico </w:t>
      </w:r>
    </w:p>
    <w:p>
      <w:pPr>
        <w:pStyle w:val="TextBody"/>
        <w:bidi w:val="0"/>
        <w:spacing w:before="120" w:after="0"/>
        <w:jc w:val="left"/>
        <w:rPr>
          <w:rFonts w:ascii="Times New Roman" w:hAnsi="Times New Roman"/>
          <w:i/>
          <w:sz w:val="20"/>
        </w:rPr>
      </w:pPr>
      <w:r>
        <w:rPr>
          <w:rFonts w:ascii="Times New Roman" w:hAnsi="Times New Roman"/>
          <w:i/>
          <w:sz w:val="20"/>
        </w:rPr>
        <w:t xml:space="preserve">Grupo Aeroméxico, S.A.B. de C.V., is a holding company whose subsidiaries are engaged in commercial aviation in Mexico and in the promotion of passenger loyalty programs. Aeroméxico, Mexico’s global airline, operates primarily out of Terminal 2 of the Mexico City International Airport. Its destination network extends across Mexico, the United States, Canada, Central America, South America, Asia, and Europe. Aeroméxico’s current operating fleet includes Boeing 787 and 737 aircraft, as well as Embraer 190. Aeroméxico is a founding member of SkyTeam, an alliance celebrating 25 years and offering connectivity across more than 145 countries through its 18 partner airlines. </w:t>
      </w:r>
    </w:p>
    <w:p>
      <w:pPr>
        <w:pStyle w:val="TextBody"/>
        <w:bidi w:val="0"/>
        <w:spacing w:before="240" w:after="0"/>
        <w:jc w:val="left"/>
        <w:rPr>
          <w:rFonts w:ascii="Times New Roman" w:hAnsi="Times New Roman"/>
          <w:i/>
          <w:sz w:val="20"/>
        </w:rPr>
      </w:pPr>
      <w:r>
        <w:rPr>
          <w:rFonts w:ascii="Times New Roman" w:hAnsi="Times New Roman"/>
          <w:i/>
          <w:sz w:val="20"/>
        </w:rPr>
        <w:t xml:space="preserve">www.aeromexico.com </w:t>
      </w:r>
    </w:p>
    <w:p>
      <w:pPr>
        <w:pStyle w:val="TextBody"/>
        <w:bidi w:val="0"/>
        <w:spacing w:before="0" w:after="0"/>
        <w:jc w:val="left"/>
        <w:rPr>
          <w:rFonts w:ascii="Times New Roman" w:hAnsi="Times New Roman"/>
          <w:i/>
          <w:sz w:val="20"/>
        </w:rPr>
      </w:pPr>
      <w:r>
        <w:rPr>
          <w:rFonts w:ascii="Times New Roman" w:hAnsi="Times New Roman"/>
          <w:i/>
          <w:sz w:val="20"/>
        </w:rPr>
        <w:t xml:space="preserve">www.skyteam.com </w:t>
      </w:r>
    </w:p>
    <w:p>
      <w:pPr>
        <w:pStyle w:val="TextBody"/>
        <w:bidi w:val="0"/>
        <w:spacing w:before="0" w:after="0"/>
        <w:jc w:val="left"/>
        <w:rPr/>
      </w:pPr>
      <w:r>
        <w:rPr/>
        <w:t> </w:t>
      </w:r>
    </w:p>
    <w:p>
      <w:pPr>
        <w:pStyle w:val="TextBody"/>
        <w:bidi w:val="0"/>
        <w:spacing w:before="0" w:after="0"/>
        <w:jc w:val="center"/>
        <w:rPr/>
      </w:pPr>
      <w:r>
        <w:rPr/>
        <w:drawing>
          <wp:inline distT="0" distB="0" distL="0" distR="0">
            <wp:extent cx="765810" cy="18161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65810" cy="1816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6" w:name="d112634dex993.htm"/>
      <w:bookmarkStart w:id="7" w:name="ksd112634dex993"/>
      <w:bookmarkEnd w:id="6"/>
      <w:bookmarkEnd w:id="7"/>
      <w:r>
        <w:rPr>
          <w:rFonts w:ascii="Times New Roman" w:hAnsi="Times New Roman"/>
          <w:b/>
          <w:sz w:val="20"/>
        </w:rPr>
        <w:t xml:space="preserve">Exhibit 99.3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26"/>
        <w:gridCol w:w="136"/>
        <w:gridCol w:w="5994"/>
        <w:gridCol w:w="136"/>
        <w:gridCol w:w="1713"/>
      </w:tblGrid>
      <w:tr>
        <w:trPr/>
        <w:tc>
          <w:tcPr>
            <w:tcW w:w="2226"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5994"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r>
      <w:tr>
        <w:trPr/>
        <w:tc>
          <w:tcPr>
            <w:tcW w:w="2226"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5994" w:type="dxa"/>
            <w:tcBorders/>
          </w:tcPr>
          <w:p>
            <w:pPr>
              <w:pStyle w:val="TableContents"/>
              <w:bidi w:val="0"/>
              <w:spacing w:before="0" w:after="283"/>
              <w:jc w:val="left"/>
              <w:rPr/>
            </w:pPr>
            <w:r>
              <w:rPr/>
              <w:drawing>
                <wp:inline distT="0" distB="0" distL="0" distR="0">
                  <wp:extent cx="3790950" cy="9525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790950" cy="952500"/>
                          </a:xfrm>
                          <a:prstGeom prst="rect">
                            <a:avLst/>
                          </a:prstGeom>
                        </pic:spPr>
                      </pic:pic>
                    </a:graphicData>
                  </a:graphic>
                </wp:inline>
              </w:drawing>
            </w:r>
            <w:r>
              <w:rPr/>
              <w:t xml:space="preserve"> </w:t>
            </w:r>
          </w:p>
        </w:tc>
        <w:tc>
          <w:tcPr>
            <w:tcW w:w="136"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right"/>
              <w:rPr/>
            </w:pPr>
            <w:r>
              <w:rPr/>
              <w:drawing>
                <wp:inline distT="0" distB="0" distL="0" distR="0">
                  <wp:extent cx="304800" cy="10668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04800" cy="1066800"/>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Aeroméxico May 2026 Traffic Results </w:t>
      </w:r>
    </w:p>
    <w:p>
      <w:pPr>
        <w:pStyle w:val="TextBody"/>
        <w:bidi w:val="0"/>
        <w:spacing w:before="240" w:after="0"/>
        <w:jc w:val="left"/>
        <w:rPr>
          <w:rFonts w:ascii="Times New Roman" w:hAnsi="Times New Roman"/>
          <w:sz w:val="20"/>
        </w:rPr>
      </w:pPr>
      <w:r>
        <w:rPr>
          <w:rFonts w:ascii="Times New Roman" w:hAnsi="Times New Roman"/>
          <w:sz w:val="20"/>
        </w:rPr>
        <w:t xml:space="preserve">Mexico City, Mexico, June 4, 2026 – Grupo Aeroméxico S.A.B. de C.V. (NYSE: AERO &amp; BMV: AERO) (“Aeroméxico”) reports its May 2026 operational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Grupo Aeroméxico transported 2 million and 102 thousand passengers in May 2026, a 2.1% year-over-year increase. International passengers increased by 4.6%, while domestic passengers increased by 0.9%.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Aeroméxico’s total capacity, measured in available seat miles (ASMs), increased by 4.7% year-over-year. International ASMs increased by 7.0%, while domestic capacity decreased by 0.3%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Demand, measured in passenger miles (RPMs), increased by 5.2% year-over-year. International demand increased by 6.8%, while domestic demand increased by 1.6%, both figures compared to May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Aeroméxico’s May 2026 load factor was 85.8%, a 0.4 p.p. increase as compared to May 2025. International load factor decreased by 0.2 p.p., and domestic load factor increased by 1.6 p.p. </w:t>
            </w:r>
          </w:p>
        </w:tc>
      </w:tr>
    </w:tbl>
    <w:p>
      <w:pPr>
        <w:pStyle w:val="TextBody"/>
        <w:bidi w:val="0"/>
        <w:spacing w:before="240" w:after="0"/>
        <w:jc w:val="left"/>
        <w:rPr>
          <w:rFonts w:ascii="Times New Roman" w:hAnsi="Times New Roman"/>
          <w:sz w:val="20"/>
        </w:rPr>
      </w:pPr>
      <w:r>
        <w:rPr>
          <w:rFonts w:ascii="Times New Roman" w:hAnsi="Times New Roman"/>
          <w:b/>
          <w:sz w:val="20"/>
        </w:rPr>
        <w:t>Andrés Conesa, Chief Executive Officer stated</w:t>
      </w:r>
      <w:r>
        <w:rPr>
          <w:rFonts w:ascii="Times New Roman" w:hAnsi="Times New Roman"/>
          <w:b/>
          <w:i/>
          <w:sz w:val="20"/>
        </w:rPr>
        <w:t>:</w:t>
      </w:r>
      <w:r>
        <w:rPr>
          <w:rFonts w:ascii="Times New Roman" w:hAnsi="Times New Roman"/>
          <w:sz w:val="20"/>
        </w:rPr>
        <w:t xml:space="preserve"> “</w:t>
      </w:r>
      <w:r>
        <w:rPr>
          <w:rFonts w:ascii="Times New Roman" w:hAnsi="Times New Roman"/>
          <w:i/>
          <w:sz w:val="20"/>
        </w:rPr>
        <w:t>May traffic performance underscored the strength of our network and commercial strategy. Demand remained strong and robust, outpacing capacity growth and supporting healthy load factors across the network. We closed the month on a high note, with the final week of May delivering the highest weekly sales in our Company’s history. Demand trends continue to track in line with the outlook provided in April. As we move to the second half of the year, we will continue to actively manage capacity and network deployment to capitalize on these strong demand opportunities and maximize profitability</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12"/>
        <w:gridCol w:w="179"/>
        <w:gridCol w:w="60"/>
        <w:gridCol w:w="563"/>
        <w:gridCol w:w="320"/>
        <w:gridCol w:w="122"/>
        <w:gridCol w:w="60"/>
        <w:gridCol w:w="563"/>
        <w:gridCol w:w="320"/>
        <w:gridCol w:w="122"/>
        <w:gridCol w:w="88"/>
        <w:gridCol w:w="607"/>
        <w:gridCol w:w="319"/>
        <w:gridCol w:w="122"/>
        <w:gridCol w:w="60"/>
        <w:gridCol w:w="710"/>
        <w:gridCol w:w="320"/>
        <w:gridCol w:w="122"/>
        <w:gridCol w:w="60"/>
        <w:gridCol w:w="710"/>
        <w:gridCol w:w="320"/>
        <w:gridCol w:w="122"/>
        <w:gridCol w:w="88"/>
        <w:gridCol w:w="607"/>
        <w:gridCol w:w="329"/>
      </w:tblGrid>
      <w:tr>
        <w:trPr/>
        <w:tc>
          <w:tcPr>
            <w:tcW w:w="3312"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31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82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May</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311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Cumulative to May</w:t>
            </w:r>
          </w:p>
        </w:tc>
        <w:tc>
          <w:tcPr>
            <w:tcW w:w="329" w:type="dxa"/>
            <w:tcBorders/>
            <w:vAlign w:val="bottom"/>
          </w:tcPr>
          <w:p>
            <w:pPr>
              <w:pStyle w:val="TableContents"/>
              <w:bidi w:val="0"/>
              <w:spacing w:before="0" w:after="283"/>
              <w:jc w:val="left"/>
              <w:rPr/>
            </w:pPr>
            <w:r>
              <w:rPr/>
              <w:t> </w:t>
            </w:r>
          </w:p>
        </w:tc>
      </w:tr>
      <w:tr>
        <w:trPr/>
        <w:tc>
          <w:tcPr>
            <w:tcW w:w="331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23" w:type="dxa"/>
            <w:gridSpan w:val="2"/>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23" w:type="dxa"/>
            <w:gridSpan w:val="2"/>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center"/>
              <w:rPr>
                <w:b/>
              </w:rPr>
            </w:pPr>
            <w:r>
              <w:rPr>
                <w:b/>
              </w:rPr>
              <w:t>Var vs</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70" w:type="dxa"/>
            <w:gridSpan w:val="2"/>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70" w:type="dxa"/>
            <w:gridSpan w:val="2"/>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center"/>
              <w:rPr>
                <w:b/>
              </w:rPr>
            </w:pPr>
            <w:r>
              <w:rPr>
                <w:b/>
              </w:rPr>
              <w:t>Var vs</w:t>
            </w:r>
          </w:p>
        </w:tc>
        <w:tc>
          <w:tcPr>
            <w:tcW w:w="329" w:type="dxa"/>
            <w:tcBorders/>
            <w:vAlign w:val="bottom"/>
          </w:tcPr>
          <w:p>
            <w:pPr>
              <w:pStyle w:val="TableContents"/>
              <w:bidi w:val="0"/>
              <w:spacing w:before="0" w:after="283"/>
              <w:jc w:val="left"/>
              <w:rPr/>
            </w:pPr>
            <w:r>
              <w:rPr/>
              <w:t> </w:t>
            </w:r>
          </w:p>
        </w:tc>
      </w:tr>
      <w:tr>
        <w:trPr/>
        <w:tc>
          <w:tcPr>
            <w:tcW w:w="331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9"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Passengers (itinerary + charter, thousands)</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r>
      <w:tr>
        <w:trPr/>
        <w:tc>
          <w:tcPr>
            <w:tcW w:w="3312"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1,407</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1,394</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0.9</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6,567</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6,693</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-1.9</w:t>
            </w:r>
          </w:p>
        </w:tc>
        <w:tc>
          <w:tcPr>
            <w:tcW w:w="329"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695</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665</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4.6</w:t>
            </w:r>
          </w:p>
        </w:tc>
        <w:tc>
          <w:tcPr>
            <w:tcW w:w="31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3,388</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3,331</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1.7</w:t>
            </w:r>
          </w:p>
        </w:tc>
        <w:tc>
          <w:tcPr>
            <w:tcW w:w="329" w:type="dxa"/>
            <w:tcBorders/>
            <w:shd w:fill="CCEEFF" w:val="clear"/>
            <w:vAlign w:val="bottom"/>
          </w:tcPr>
          <w:p>
            <w:pPr>
              <w:pStyle w:val="TableContents"/>
              <w:bidi w:val="0"/>
              <w:spacing w:before="0" w:after="283"/>
              <w:jc w:val="left"/>
              <w:rPr/>
            </w:pPr>
            <w:r>
              <w:rPr/>
              <w:t>% </w:t>
            </w:r>
          </w:p>
        </w:tc>
      </w:tr>
      <w:tr>
        <w:trPr/>
        <w:tc>
          <w:tcPr>
            <w:tcW w:w="33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2,102</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2,059</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2.1</w:t>
            </w:r>
          </w:p>
        </w:tc>
        <w:tc>
          <w:tcPr>
            <w:tcW w:w="319"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9,954</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10,024</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-0.7</w:t>
            </w:r>
          </w:p>
        </w:tc>
        <w:tc>
          <w:tcPr>
            <w:tcW w:w="329" w:type="dxa"/>
            <w:tcBorders/>
            <w:vAlign w:val="bottom"/>
          </w:tcPr>
          <w:p>
            <w:pPr>
              <w:pStyle w:val="TableContents"/>
              <w:bidi w:val="0"/>
              <w:spacing w:before="0" w:after="283"/>
              <w:jc w:val="left"/>
              <w:rPr>
                <w:b/>
              </w:rPr>
            </w:pPr>
            <w:r>
              <w:rPr>
                <w:b/>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ASMs (itinerary + charter, millions)</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r>
      <w:tr>
        <w:trPr/>
        <w:tc>
          <w:tcPr>
            <w:tcW w:w="3312"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925</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927</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-0.3</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4,425</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4,510</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-1.9</w:t>
            </w:r>
          </w:p>
        </w:tc>
        <w:tc>
          <w:tcPr>
            <w:tcW w:w="329"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2,226</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2,081</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7.0</w:t>
            </w:r>
          </w:p>
        </w:tc>
        <w:tc>
          <w:tcPr>
            <w:tcW w:w="31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10,401</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10,265</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1.3</w:t>
            </w:r>
          </w:p>
        </w:tc>
        <w:tc>
          <w:tcPr>
            <w:tcW w:w="329" w:type="dxa"/>
            <w:tcBorders/>
            <w:shd w:fill="CCEEFF" w:val="clear"/>
            <w:vAlign w:val="bottom"/>
          </w:tcPr>
          <w:p>
            <w:pPr>
              <w:pStyle w:val="TableContents"/>
              <w:bidi w:val="0"/>
              <w:spacing w:before="0" w:after="283"/>
              <w:jc w:val="left"/>
              <w:rPr/>
            </w:pPr>
            <w:r>
              <w:rPr/>
              <w:t>% </w:t>
            </w:r>
          </w:p>
        </w:tc>
      </w:tr>
      <w:tr>
        <w:trPr/>
        <w:tc>
          <w:tcPr>
            <w:tcW w:w="33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3,151</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3,009</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4.7</w:t>
            </w:r>
          </w:p>
        </w:tc>
        <w:tc>
          <w:tcPr>
            <w:tcW w:w="319"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14,826</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14,776</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0.3</w:t>
            </w:r>
          </w:p>
        </w:tc>
        <w:tc>
          <w:tcPr>
            <w:tcW w:w="329" w:type="dxa"/>
            <w:tcBorders/>
            <w:vAlign w:val="bottom"/>
          </w:tcPr>
          <w:p>
            <w:pPr>
              <w:pStyle w:val="TableContents"/>
              <w:bidi w:val="0"/>
              <w:spacing w:before="0" w:after="283"/>
              <w:jc w:val="left"/>
              <w:rPr>
                <w:b/>
              </w:rPr>
            </w:pPr>
            <w:r>
              <w:rPr>
                <w:b/>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RPMs (itinerary + charter, millions)</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r>
      <w:tr>
        <w:trPr/>
        <w:tc>
          <w:tcPr>
            <w:tcW w:w="3312"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791</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779</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1.6</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3,704</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3,776</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-1.9</w:t>
            </w:r>
          </w:p>
        </w:tc>
        <w:tc>
          <w:tcPr>
            <w:tcW w:w="329"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1,914</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1,792</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6.8</w:t>
            </w:r>
          </w:p>
        </w:tc>
        <w:tc>
          <w:tcPr>
            <w:tcW w:w="31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8,905</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8,589</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3.7</w:t>
            </w:r>
          </w:p>
        </w:tc>
        <w:tc>
          <w:tcPr>
            <w:tcW w:w="329" w:type="dxa"/>
            <w:tcBorders/>
            <w:shd w:fill="CCEEFF" w:val="clear"/>
            <w:vAlign w:val="bottom"/>
          </w:tcPr>
          <w:p>
            <w:pPr>
              <w:pStyle w:val="TableContents"/>
              <w:bidi w:val="0"/>
              <w:spacing w:before="0" w:after="283"/>
              <w:jc w:val="left"/>
              <w:rPr/>
            </w:pPr>
            <w:r>
              <w:rPr/>
              <w:t>% </w:t>
            </w:r>
          </w:p>
        </w:tc>
      </w:tr>
      <w:tr>
        <w:trPr/>
        <w:tc>
          <w:tcPr>
            <w:tcW w:w="33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2,705</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2,571</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5.2</w:t>
            </w:r>
          </w:p>
        </w:tc>
        <w:tc>
          <w:tcPr>
            <w:tcW w:w="319"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12,609</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12,365</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2.0</w:t>
            </w:r>
          </w:p>
        </w:tc>
        <w:tc>
          <w:tcPr>
            <w:tcW w:w="329" w:type="dxa"/>
            <w:tcBorders/>
            <w:vAlign w:val="bottom"/>
          </w:tcPr>
          <w:p>
            <w:pPr>
              <w:pStyle w:val="TableContents"/>
              <w:bidi w:val="0"/>
              <w:spacing w:before="0" w:after="283"/>
              <w:jc w:val="left"/>
              <w:rPr>
                <w:b/>
              </w:rPr>
            </w:pPr>
            <w:r>
              <w:rPr>
                <w:b/>
              </w:rPr>
              <w:t>% </w:t>
            </w:r>
          </w:p>
        </w:tc>
      </w:tr>
      <w:tr>
        <w:trPr/>
        <w:tc>
          <w:tcPr>
            <w:tcW w:w="33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Load Factor (itinerary, %)</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b/>
              </w:rPr>
            </w:pPr>
            <w:r>
              <w:rPr>
                <w:b/>
              </w:rPr>
              <w:t>p.p.</w:t>
            </w:r>
          </w:p>
        </w:tc>
        <w:tc>
          <w:tcPr>
            <w:tcW w:w="31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b/>
              </w:rPr>
            </w:pPr>
            <w:r>
              <w:rPr>
                <w:b/>
              </w:rPr>
              <w:t>p.p.</w:t>
            </w:r>
          </w:p>
        </w:tc>
        <w:tc>
          <w:tcPr>
            <w:tcW w:w="329" w:type="dxa"/>
            <w:tcBorders/>
            <w:shd w:fill="CCEEFF" w:val="clear"/>
            <w:vAlign w:val="bottom"/>
          </w:tcPr>
          <w:p>
            <w:pPr>
              <w:pStyle w:val="TableContents"/>
              <w:bidi w:val="0"/>
              <w:spacing w:before="0" w:after="283"/>
              <w:jc w:val="left"/>
              <w:rPr/>
            </w:pPr>
            <w:r>
              <w:rPr/>
              <w:t> </w:t>
            </w:r>
          </w:p>
        </w:tc>
      </w:tr>
      <w:tr>
        <w:trPr/>
        <w:tc>
          <w:tcPr>
            <w:tcW w:w="3312"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85.6</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84.0</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1.6</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83.7</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83.7</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-0.0</w:t>
            </w:r>
          </w:p>
        </w:tc>
        <w:tc>
          <w:tcPr>
            <w:tcW w:w="329"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86.0</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86.1</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-0.2</w:t>
            </w:r>
          </w:p>
        </w:tc>
        <w:tc>
          <w:tcPr>
            <w:tcW w:w="31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85.6</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83.7</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1.9</w:t>
            </w:r>
          </w:p>
        </w:tc>
        <w:tc>
          <w:tcPr>
            <w:tcW w:w="329" w:type="dxa"/>
            <w:tcBorders/>
            <w:shd w:fill="CCEEFF" w:val="clear"/>
            <w:vAlign w:val="bottom"/>
          </w:tcPr>
          <w:p>
            <w:pPr>
              <w:pStyle w:val="TableContents"/>
              <w:bidi w:val="0"/>
              <w:spacing w:before="0" w:after="283"/>
              <w:jc w:val="left"/>
              <w:rPr/>
            </w:pPr>
            <w:r>
              <w:rPr/>
              <w:t> </w:t>
            </w:r>
          </w:p>
        </w:tc>
      </w:tr>
      <w:tr>
        <w:trPr/>
        <w:tc>
          <w:tcPr>
            <w:tcW w:w="33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85.8</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85.5</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0.4</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85.1</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83.7</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1.4</w:t>
            </w:r>
          </w:p>
        </w:tc>
        <w:tc>
          <w:tcPr>
            <w:tcW w:w="32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i/>
          <w:sz w:val="20"/>
        </w:rPr>
        <w:t>Figures may not sum to total due to rounding.</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152525" cy="4095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52525" cy="4095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The information included within this report has not been audited and does not provide information on the Company’s future performance. Aeromexico’s future performance depends on many factors and it cannot be inferred that any period’s performance or its year-over-year comparison will be an indicator of similar future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Glossary: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u w:val="single"/>
              </w:rPr>
              <w:t>“</w:t>
            </w:r>
            <w:r>
              <w:rPr>
                <w:rFonts w:ascii="Times New Roman" w:hAnsi="Times New Roman"/>
                <w:sz w:val="20"/>
                <w:u w:val="single"/>
              </w:rPr>
              <w:t>RPMs”</w:t>
            </w:r>
            <w:r>
              <w:rPr>
                <w:rFonts w:ascii="Times New Roman" w:hAnsi="Times New Roman"/>
                <w:sz w:val="20"/>
              </w:rPr>
              <w:t xml:space="preserve"> Revenue Passenger Miles represent one revenue-passenger transported one mile. This includes itinerary and charter flights. The total RPMs equals the number of revenue-passengers transported multiplied by the total distance flown.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u w:val="single"/>
              </w:rPr>
              <w:t>“</w:t>
            </w:r>
            <w:r>
              <w:rPr>
                <w:rFonts w:ascii="Times New Roman" w:hAnsi="Times New Roman"/>
                <w:sz w:val="20"/>
                <w:u w:val="single"/>
              </w:rPr>
              <w:t>ASMs”</w:t>
            </w:r>
            <w:r>
              <w:rPr>
                <w:rFonts w:ascii="Times New Roman" w:hAnsi="Times New Roman"/>
                <w:sz w:val="20"/>
              </w:rPr>
              <w:t xml:space="preserve"> Available Seat Miles represent the number of available seats multiplied by the distance flown. This metric is an indicator of the airline’s capacity. It equals one seat offered for one mile, whether the seat is used.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u w:val="single"/>
              </w:rPr>
              <w:t>“</w:t>
            </w:r>
            <w:r>
              <w:rPr>
                <w:rFonts w:ascii="Times New Roman" w:hAnsi="Times New Roman"/>
                <w:sz w:val="20"/>
                <w:u w:val="single"/>
              </w:rPr>
              <w:t>Load Factor”</w:t>
            </w:r>
            <w:r>
              <w:rPr>
                <w:rFonts w:ascii="Times New Roman" w:hAnsi="Times New Roman"/>
                <w:sz w:val="20"/>
              </w:rPr>
              <w:t xml:space="preserve"> equals the number of passengers transported as a percentage of the number of seats offered. It is a measure of the airline’s capacity utilization. This metric considers the total passengers transported and total seats available in itinerary flights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u w:val="single"/>
              </w:rPr>
              <w:t>“</w:t>
            </w:r>
            <w:r>
              <w:rPr>
                <w:rFonts w:ascii="Times New Roman" w:hAnsi="Times New Roman"/>
                <w:sz w:val="20"/>
                <w:u w:val="single"/>
              </w:rPr>
              <w:t>Passengers”</w:t>
            </w:r>
            <w:r>
              <w:rPr>
                <w:rFonts w:ascii="Times New Roman" w:hAnsi="Times New Roman"/>
                <w:sz w:val="20"/>
              </w:rPr>
              <w:t xml:space="preserve"> refers to the total number of passengers transported by the airline.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This press release contains certain forward-looking statements that reflect the current views and/or expectations of the Company and its management with respect to its performance, business and future events. We use words such as “believe,” “anticipate,” “plan,” “expect,”, “intend,” “target,” “estimate,” “project,” “predict,” “forecast,” “guideline,” “should” and other similar expressions to identify forward-looking statements, but they are not the only way we identify such statements. Such statements are subject to a number of risks, uncertainties and assumptions. We caution you that a number of important factors could cause actual results to differ materially from the plans, objectives, expectations, estimates and intentions expressed in this release. The Company is under no obligation and expressly disclaims any intention or obligation to update or revise any forward-looking statements, whether as a result of new information, future events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About Grupo Aeroméxico </w:t>
      </w:r>
    </w:p>
    <w:p>
      <w:pPr>
        <w:pStyle w:val="TextBody"/>
        <w:bidi w:val="0"/>
        <w:spacing w:before="120" w:after="0"/>
        <w:jc w:val="left"/>
        <w:rPr>
          <w:rFonts w:ascii="Times New Roman" w:hAnsi="Times New Roman"/>
          <w:i/>
          <w:sz w:val="20"/>
        </w:rPr>
      </w:pPr>
      <w:r>
        <w:rPr>
          <w:rFonts w:ascii="Times New Roman" w:hAnsi="Times New Roman"/>
          <w:i/>
          <w:sz w:val="20"/>
        </w:rPr>
        <w:t xml:space="preserve">Grupo Aeroméxico, S.A.B. de C.V., is a holding company whose subsidiaries are engaged in commercial aviation in Mexico and in the promotion of passenger loyalty programs. Aeroméxico, Mexico’s global airline, operates primarily out of Terminal 2 of the Mexico City International Airport. Its destination network extends across Mexico, the United States, Canada, Central America, South America, Asia, and Europe. Aeroméxico’s current operating fleet includes Boeing 787 and 737 aircraft, as well as Embraer 190. Aeroméxico is a founding member of SkyTeam, an alliance celebrating 25 years and offering connectivity across more than 145 countries through its 18 partner airlines. </w:t>
      </w:r>
    </w:p>
    <w:p>
      <w:pPr>
        <w:pStyle w:val="TextBody"/>
        <w:bidi w:val="0"/>
        <w:spacing w:before="240" w:after="0"/>
        <w:jc w:val="left"/>
        <w:rPr>
          <w:rFonts w:ascii="Times New Roman" w:hAnsi="Times New Roman"/>
          <w:i/>
          <w:sz w:val="20"/>
        </w:rPr>
      </w:pPr>
      <w:r>
        <w:rPr>
          <w:rFonts w:ascii="Times New Roman" w:hAnsi="Times New Roman"/>
          <w:i/>
          <w:sz w:val="20"/>
        </w:rPr>
        <w:t xml:space="preserve">www.aeromexico.com </w:t>
      </w:r>
    </w:p>
    <w:p>
      <w:pPr>
        <w:pStyle w:val="TextBody"/>
        <w:bidi w:val="0"/>
        <w:spacing w:before="0" w:after="0"/>
        <w:jc w:val="left"/>
        <w:rPr>
          <w:rFonts w:ascii="Times New Roman" w:hAnsi="Times New Roman"/>
          <w:i/>
          <w:sz w:val="20"/>
        </w:rPr>
      </w:pPr>
      <w:r>
        <w:rPr>
          <w:rFonts w:ascii="Times New Roman" w:hAnsi="Times New Roman"/>
          <w:i/>
          <w:sz w:val="20"/>
        </w:rPr>
        <w:t xml:space="preserve">www.skyteam.com </w:t>
      </w:r>
    </w:p>
    <w:p>
      <w:pPr>
        <w:pStyle w:val="TextBody"/>
        <w:bidi w:val="0"/>
        <w:spacing w:before="0" w:after="0"/>
        <w:jc w:val="left"/>
        <w:rPr/>
      </w:pPr>
      <w:r>
        <w:rPr/>
        <w:t> </w:t>
      </w:r>
    </w:p>
    <w:p>
      <w:pPr>
        <w:pStyle w:val="TextBody"/>
        <w:bidi w:val="0"/>
        <w:spacing w:before="0" w:after="0"/>
        <w:jc w:val="center"/>
        <w:rPr/>
      </w:pPr>
      <w:r>
        <w:rPr/>
        <w:drawing>
          <wp:inline distT="0" distB="0" distL="0" distR="0">
            <wp:extent cx="923925" cy="2190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23925" cy="219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8" w:name="d112634dex994.htm"/>
      <w:bookmarkStart w:id="9" w:name="ksd112634dex994"/>
      <w:bookmarkEnd w:id="8"/>
      <w:bookmarkEnd w:id="9"/>
      <w:r>
        <w:rPr>
          <w:rFonts w:ascii="Times New Roman" w:hAnsi="Times New Roman"/>
          <w:b/>
          <w:sz w:val="20"/>
        </w:rPr>
        <w:t xml:space="preserve">Exhibit 99.4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19"/>
        <w:gridCol w:w="130"/>
        <w:gridCol w:w="5003"/>
        <w:gridCol w:w="130"/>
        <w:gridCol w:w="2023"/>
      </w:tblGrid>
      <w:tr>
        <w:trPr/>
        <w:tc>
          <w:tcPr>
            <w:tcW w:w="2919"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500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r>
      <w:tr>
        <w:trPr/>
        <w:tc>
          <w:tcPr>
            <w:tcW w:w="2919"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5003" w:type="dxa"/>
            <w:tcBorders/>
          </w:tcPr>
          <w:p>
            <w:pPr>
              <w:pStyle w:val="TableContents"/>
              <w:bidi w:val="0"/>
              <w:spacing w:before="0" w:after="283"/>
              <w:jc w:val="left"/>
              <w:rPr/>
            </w:pPr>
            <w:r>
              <w:rPr/>
              <w:drawing>
                <wp:inline distT="0" distB="0" distL="0" distR="0">
                  <wp:extent cx="3142615" cy="78994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142615" cy="789940"/>
                          </a:xfrm>
                          <a:prstGeom prst="rect">
                            <a:avLst/>
                          </a:prstGeom>
                        </pic:spPr>
                      </pic:pic>
                    </a:graphicData>
                  </a:graphic>
                </wp:inline>
              </w:drawing>
            </w:r>
            <w:r>
              <w:rPr/>
              <w:t xml:space="preserve"> </w:t>
            </w:r>
          </w:p>
        </w:tc>
        <w:tc>
          <w:tcPr>
            <w:tcW w:w="130" w:type="dxa"/>
            <w:tcBorders/>
            <w:vAlign w:val="bottom"/>
          </w:tcPr>
          <w:p>
            <w:pPr>
              <w:pStyle w:val="TableContents"/>
              <w:bidi w:val="0"/>
              <w:spacing w:before="0" w:after="283"/>
              <w:jc w:val="left"/>
              <w:rPr/>
            </w:pPr>
            <w:r>
              <w:rPr/>
              <w:t>  </w:t>
            </w:r>
          </w:p>
        </w:tc>
        <w:tc>
          <w:tcPr>
            <w:tcW w:w="2023" w:type="dxa"/>
            <w:tcBorders/>
          </w:tcPr>
          <w:p>
            <w:pPr>
              <w:pStyle w:val="TableContents"/>
              <w:bidi w:val="0"/>
              <w:spacing w:before="0" w:after="283"/>
              <w:jc w:val="right"/>
              <w:rPr/>
            </w:pPr>
            <w:r>
              <w:rPr/>
              <w:drawing>
                <wp:inline distT="0" distB="0" distL="0" distR="0">
                  <wp:extent cx="252730" cy="88519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52730" cy="885190"/>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Aeroméxico June 2026 Traffic Results </w:t>
      </w:r>
    </w:p>
    <w:p>
      <w:pPr>
        <w:pStyle w:val="TextBody"/>
        <w:bidi w:val="0"/>
        <w:spacing w:before="240" w:after="0"/>
        <w:jc w:val="left"/>
        <w:rPr>
          <w:rFonts w:ascii="Times New Roman" w:hAnsi="Times New Roman"/>
          <w:sz w:val="20"/>
        </w:rPr>
      </w:pPr>
      <w:r>
        <w:rPr>
          <w:rFonts w:ascii="Times New Roman" w:hAnsi="Times New Roman"/>
          <w:sz w:val="20"/>
        </w:rPr>
        <w:t xml:space="preserve">Mexico City, Mexico, July 2, 2026 – Grupo Aeroméxico S.A.B. de C.V. (NYSE: AERO &amp; BMV: AERO, “Aeroméxico”) reports its June 2026 operational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5"/>
        <w:gridCol w:w="9296"/>
      </w:tblGrid>
      <w:tr>
        <w:trPr/>
        <w:tc>
          <w:tcPr>
            <w:tcW w:w="404"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Grupo Aeroméxico transported 1 million and 851 thousand passengers in June 2026, a 9.0% year-over-year decrease. International passengers decreased by 1.4%, while domestic passengers decreased by 13.0%.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5"/>
        <w:gridCol w:w="9296"/>
      </w:tblGrid>
      <w:tr>
        <w:trPr/>
        <w:tc>
          <w:tcPr>
            <w:tcW w:w="404"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Aeroméxico’s total capacity, measured in available seat miles (ASMs), increased by 0.9% year-over-year. International ASMs increased by 4.9%, while domestic capacity decreased by 8.7%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5"/>
        <w:gridCol w:w="9296"/>
      </w:tblGrid>
      <w:tr>
        <w:trPr/>
        <w:tc>
          <w:tcPr>
            <w:tcW w:w="404"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Demand, measured in passenger miles (RPMs), decreased by 2.8% year-over-year. International demand increased by 0.9%, while domestic demand decreased by 11.8%, both figures compared to June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5"/>
        <w:gridCol w:w="9296"/>
      </w:tblGrid>
      <w:tr>
        <w:trPr/>
        <w:tc>
          <w:tcPr>
            <w:tcW w:w="404"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Aeroméxico’s June 2026 load factor was 82.7%, a 3.0 p.p. decrease as compared to June 2025. International load factor decreased by 3.1 p.p., and domestic load factor decreased by 2.9 p.p. </w:t>
            </w:r>
          </w:p>
        </w:tc>
      </w:tr>
    </w:tbl>
    <w:p>
      <w:pPr>
        <w:pStyle w:val="TextBody"/>
        <w:bidi w:val="0"/>
        <w:spacing w:before="240" w:after="0"/>
        <w:jc w:val="left"/>
        <w:rPr>
          <w:rFonts w:ascii="Times New Roman" w:hAnsi="Times New Roman"/>
          <w:sz w:val="20"/>
        </w:rPr>
      </w:pPr>
      <w:r>
        <w:rPr>
          <w:rFonts w:ascii="Times New Roman" w:hAnsi="Times New Roman"/>
          <w:b/>
          <w:sz w:val="20"/>
        </w:rPr>
        <w:t>Andrés Conesa, Chief Executive Officer stated</w:t>
      </w:r>
      <w:r>
        <w:rPr>
          <w:rFonts w:ascii="Times New Roman" w:hAnsi="Times New Roman"/>
          <w:b/>
          <w:i/>
          <w:sz w:val="20"/>
        </w:rPr>
        <w:t xml:space="preserve">: </w:t>
      </w:r>
      <w:r>
        <w:rPr>
          <w:rFonts w:ascii="Times New Roman" w:hAnsi="Times New Roman"/>
          <w:sz w:val="20"/>
        </w:rPr>
        <w:t xml:space="preserve">“Traffic results for June reflect the disciplined execution of our commercial and network strategy. As anticipated, domestic demand moderated this month due to the World Cup-related shifts and we proactively adjusted domestic capacity to align with expected market conditions. International demand, on the other hand, maintained the strength it has shown all year long. These traffic results are consistent with the assumptions underpinning our second-quarter guidance. </w:t>
      </w:r>
    </w:p>
    <w:p>
      <w:pPr>
        <w:pStyle w:val="TextBody"/>
        <w:bidi w:val="0"/>
        <w:spacing w:before="240" w:after="0"/>
        <w:jc w:val="left"/>
        <w:rPr>
          <w:rFonts w:ascii="Times New Roman" w:hAnsi="Times New Roman"/>
          <w:sz w:val="20"/>
        </w:rPr>
      </w:pPr>
      <w:r>
        <w:rPr>
          <w:rFonts w:ascii="Times New Roman" w:hAnsi="Times New Roman"/>
          <w:sz w:val="20"/>
        </w:rPr>
        <w:t xml:space="preserve">Looking beyond the World Cup period, booking trends remain strong and continue to support our expectation of healthy demand for the rest of the year. We will continue to actively manage our network and capacity to capture demand opportunities while maximizing profitability.”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23"/>
        <w:gridCol w:w="148"/>
        <w:gridCol w:w="60"/>
        <w:gridCol w:w="562"/>
        <w:gridCol w:w="336"/>
        <w:gridCol w:w="92"/>
        <w:gridCol w:w="60"/>
        <w:gridCol w:w="562"/>
        <w:gridCol w:w="336"/>
        <w:gridCol w:w="92"/>
        <w:gridCol w:w="60"/>
        <w:gridCol w:w="518"/>
        <w:gridCol w:w="336"/>
        <w:gridCol w:w="92"/>
        <w:gridCol w:w="60"/>
        <w:gridCol w:w="711"/>
        <w:gridCol w:w="336"/>
        <w:gridCol w:w="92"/>
        <w:gridCol w:w="60"/>
        <w:gridCol w:w="711"/>
        <w:gridCol w:w="335"/>
        <w:gridCol w:w="92"/>
        <w:gridCol w:w="60"/>
        <w:gridCol w:w="421"/>
        <w:gridCol w:w="350"/>
      </w:tblGrid>
      <w:tr>
        <w:trPr/>
        <w:tc>
          <w:tcPr>
            <w:tcW w:w="3723"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Passengers (itinerary + charter, thousands)</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3723"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1,161</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1,333</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-13.0</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7,727</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8,027</w:t>
            </w:r>
          </w:p>
        </w:tc>
        <w:tc>
          <w:tcPr>
            <w:tcW w:w="33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350" w:type="dxa"/>
            <w:tcBorders/>
            <w:vAlign w:val="bottom"/>
          </w:tcPr>
          <w:p>
            <w:pPr>
              <w:pStyle w:val="TableContents"/>
              <w:bidi w:val="0"/>
              <w:spacing w:before="0" w:after="283"/>
              <w:jc w:val="left"/>
              <w:rPr/>
            </w:pPr>
            <w:r>
              <w:rPr/>
              <w:t>% </w:t>
            </w:r>
          </w:p>
        </w:tc>
      </w:tr>
      <w:tr>
        <w:trPr/>
        <w:tc>
          <w:tcPr>
            <w:tcW w:w="3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690</w:t>
            </w:r>
          </w:p>
        </w:tc>
        <w:tc>
          <w:tcPr>
            <w:tcW w:w="33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700</w:t>
            </w:r>
          </w:p>
        </w:tc>
        <w:tc>
          <w:tcPr>
            <w:tcW w:w="33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-1.4</w:t>
            </w:r>
          </w:p>
        </w:tc>
        <w:tc>
          <w:tcPr>
            <w:tcW w:w="33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4,078</w:t>
            </w:r>
          </w:p>
        </w:tc>
        <w:tc>
          <w:tcPr>
            <w:tcW w:w="33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4,030</w:t>
            </w:r>
          </w:p>
        </w:tc>
        <w:tc>
          <w:tcPr>
            <w:tcW w:w="33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right"/>
              <w:rPr/>
            </w:pPr>
            <w:r>
              <w:rPr/>
              <w:t>1.2</w:t>
            </w:r>
          </w:p>
        </w:tc>
        <w:tc>
          <w:tcPr>
            <w:tcW w:w="350" w:type="dxa"/>
            <w:tcBorders/>
            <w:shd w:fill="CCEEFF" w:val="clear"/>
            <w:vAlign w:val="bottom"/>
          </w:tcPr>
          <w:p>
            <w:pPr>
              <w:pStyle w:val="TableContents"/>
              <w:bidi w:val="0"/>
              <w:spacing w:before="0" w:after="283"/>
              <w:jc w:val="left"/>
              <w:rPr/>
            </w:pPr>
            <w:r>
              <w:rPr/>
              <w:t>% </w:t>
            </w:r>
          </w:p>
        </w:tc>
      </w:tr>
      <w:tr>
        <w:trPr/>
        <w:tc>
          <w:tcPr>
            <w:tcW w:w="372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1,851</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2,033</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b/>
              </w:rPr>
            </w:pPr>
            <w:r>
              <w:rPr>
                <w:b/>
              </w:rPr>
              <w:t>-9.0</w:t>
            </w:r>
          </w:p>
        </w:tc>
        <w:tc>
          <w:tcPr>
            <w:tcW w:w="336" w:type="dxa"/>
            <w:tcBorders/>
            <w:vAlign w:val="bottom"/>
          </w:tcPr>
          <w:p>
            <w:pPr>
              <w:pStyle w:val="TableContents"/>
              <w:bidi w:val="0"/>
              <w:spacing w:before="0" w:after="283"/>
              <w:jc w:val="left"/>
              <w:rPr>
                <w:b/>
              </w:rPr>
            </w:pPr>
            <w:r>
              <w:rPr>
                <w:b/>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b/>
              </w:rPr>
            </w:pPr>
            <w:r>
              <w:rPr>
                <w:b/>
              </w:rPr>
              <w:t>11,805</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b/>
              </w:rPr>
            </w:pPr>
            <w:r>
              <w:rPr>
                <w:b/>
              </w:rPr>
              <w:t>12,057</w:t>
            </w:r>
          </w:p>
        </w:tc>
        <w:tc>
          <w:tcPr>
            <w:tcW w:w="33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b/>
              </w:rPr>
            </w:pPr>
            <w:r>
              <w:rPr>
                <w:b/>
              </w:rPr>
              <w:t>-2.1</w:t>
            </w:r>
          </w:p>
        </w:tc>
        <w:tc>
          <w:tcPr>
            <w:tcW w:w="350" w:type="dxa"/>
            <w:tcBorders/>
            <w:vAlign w:val="bottom"/>
          </w:tcPr>
          <w:p>
            <w:pPr>
              <w:pStyle w:val="TableContents"/>
              <w:bidi w:val="0"/>
              <w:spacing w:before="0" w:after="283"/>
              <w:jc w:val="left"/>
              <w:rPr>
                <w:b/>
              </w:rPr>
            </w:pPr>
            <w:r>
              <w:rPr>
                <w:b/>
              </w:rPr>
              <w:t>% </w:t>
            </w:r>
          </w:p>
        </w:tc>
      </w:tr>
      <w:tr>
        <w:trPr/>
        <w:tc>
          <w:tcPr>
            <w:tcW w:w="3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ASMs (itinerary + charter, millions)</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3723"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815</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892</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-8.7</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5,239</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5,402</w:t>
            </w:r>
          </w:p>
        </w:tc>
        <w:tc>
          <w:tcPr>
            <w:tcW w:w="33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350" w:type="dxa"/>
            <w:tcBorders/>
            <w:vAlign w:val="bottom"/>
          </w:tcPr>
          <w:p>
            <w:pPr>
              <w:pStyle w:val="TableContents"/>
              <w:bidi w:val="0"/>
              <w:spacing w:before="0" w:after="283"/>
              <w:jc w:val="left"/>
              <w:rPr/>
            </w:pPr>
            <w:r>
              <w:rPr/>
              <w:t>% </w:t>
            </w:r>
          </w:p>
        </w:tc>
      </w:tr>
      <w:tr>
        <w:trPr/>
        <w:tc>
          <w:tcPr>
            <w:tcW w:w="3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2,212</w:t>
            </w:r>
          </w:p>
        </w:tc>
        <w:tc>
          <w:tcPr>
            <w:tcW w:w="33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2,109</w:t>
            </w:r>
          </w:p>
        </w:tc>
        <w:tc>
          <w:tcPr>
            <w:tcW w:w="33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4.9</w:t>
            </w:r>
          </w:p>
        </w:tc>
        <w:tc>
          <w:tcPr>
            <w:tcW w:w="33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12,613</w:t>
            </w:r>
          </w:p>
        </w:tc>
        <w:tc>
          <w:tcPr>
            <w:tcW w:w="33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12,375</w:t>
            </w:r>
          </w:p>
        </w:tc>
        <w:tc>
          <w:tcPr>
            <w:tcW w:w="33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right"/>
              <w:rPr/>
            </w:pPr>
            <w:r>
              <w:rPr/>
              <w:t>1.9</w:t>
            </w:r>
          </w:p>
        </w:tc>
        <w:tc>
          <w:tcPr>
            <w:tcW w:w="350" w:type="dxa"/>
            <w:tcBorders/>
            <w:shd w:fill="CCEEFF" w:val="clear"/>
            <w:vAlign w:val="bottom"/>
          </w:tcPr>
          <w:p>
            <w:pPr>
              <w:pStyle w:val="TableContents"/>
              <w:bidi w:val="0"/>
              <w:spacing w:before="0" w:after="283"/>
              <w:jc w:val="left"/>
              <w:rPr/>
            </w:pPr>
            <w:r>
              <w:rPr/>
              <w:t>% </w:t>
            </w:r>
          </w:p>
        </w:tc>
      </w:tr>
      <w:tr>
        <w:trPr/>
        <w:tc>
          <w:tcPr>
            <w:tcW w:w="372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3,027</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3,001</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b/>
              </w:rPr>
            </w:pPr>
            <w:r>
              <w:rPr>
                <w:b/>
              </w:rPr>
              <w:t>0.9</w:t>
            </w:r>
          </w:p>
        </w:tc>
        <w:tc>
          <w:tcPr>
            <w:tcW w:w="336" w:type="dxa"/>
            <w:tcBorders/>
            <w:vAlign w:val="bottom"/>
          </w:tcPr>
          <w:p>
            <w:pPr>
              <w:pStyle w:val="TableContents"/>
              <w:bidi w:val="0"/>
              <w:spacing w:before="0" w:after="283"/>
              <w:jc w:val="left"/>
              <w:rPr>
                <w:b/>
              </w:rPr>
            </w:pPr>
            <w:r>
              <w:rPr>
                <w:b/>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b/>
              </w:rPr>
            </w:pPr>
            <w:r>
              <w:rPr>
                <w:b/>
              </w:rPr>
              <w:t>17,852</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b/>
              </w:rPr>
            </w:pPr>
            <w:r>
              <w:rPr>
                <w:b/>
              </w:rPr>
              <w:t>17,777</w:t>
            </w:r>
          </w:p>
        </w:tc>
        <w:tc>
          <w:tcPr>
            <w:tcW w:w="33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b/>
              </w:rPr>
            </w:pPr>
            <w:r>
              <w:rPr>
                <w:b/>
              </w:rPr>
              <w:t>0.4</w:t>
            </w:r>
          </w:p>
        </w:tc>
        <w:tc>
          <w:tcPr>
            <w:tcW w:w="350" w:type="dxa"/>
            <w:tcBorders/>
            <w:vAlign w:val="bottom"/>
          </w:tcPr>
          <w:p>
            <w:pPr>
              <w:pStyle w:val="TableContents"/>
              <w:bidi w:val="0"/>
              <w:spacing w:before="0" w:after="283"/>
              <w:jc w:val="left"/>
              <w:rPr>
                <w:b/>
              </w:rPr>
            </w:pPr>
            <w:r>
              <w:rPr>
                <w:b/>
              </w:rPr>
              <w:t>% </w:t>
            </w:r>
          </w:p>
        </w:tc>
      </w:tr>
      <w:tr>
        <w:trPr/>
        <w:tc>
          <w:tcPr>
            <w:tcW w:w="3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RPMs (itinerary + charter, millions)</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3723"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659</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747</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-11.8</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4,362</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4,523</w:t>
            </w:r>
          </w:p>
        </w:tc>
        <w:tc>
          <w:tcPr>
            <w:tcW w:w="33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-3.6</w:t>
            </w:r>
          </w:p>
        </w:tc>
        <w:tc>
          <w:tcPr>
            <w:tcW w:w="350" w:type="dxa"/>
            <w:tcBorders/>
            <w:vAlign w:val="bottom"/>
          </w:tcPr>
          <w:p>
            <w:pPr>
              <w:pStyle w:val="TableContents"/>
              <w:bidi w:val="0"/>
              <w:spacing w:before="0" w:after="283"/>
              <w:jc w:val="left"/>
              <w:rPr/>
            </w:pPr>
            <w:r>
              <w:rPr/>
              <w:t>% </w:t>
            </w:r>
          </w:p>
        </w:tc>
      </w:tr>
      <w:tr>
        <w:trPr/>
        <w:tc>
          <w:tcPr>
            <w:tcW w:w="3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1,839</w:t>
            </w:r>
          </w:p>
        </w:tc>
        <w:tc>
          <w:tcPr>
            <w:tcW w:w="33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1,823</w:t>
            </w:r>
          </w:p>
        </w:tc>
        <w:tc>
          <w:tcPr>
            <w:tcW w:w="33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0.9</w:t>
            </w:r>
          </w:p>
        </w:tc>
        <w:tc>
          <w:tcPr>
            <w:tcW w:w="33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10,744</w:t>
            </w:r>
          </w:p>
        </w:tc>
        <w:tc>
          <w:tcPr>
            <w:tcW w:w="33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10,412</w:t>
            </w:r>
          </w:p>
        </w:tc>
        <w:tc>
          <w:tcPr>
            <w:tcW w:w="33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right"/>
              <w:rPr/>
            </w:pPr>
            <w:r>
              <w:rPr/>
              <w:t>3.2</w:t>
            </w:r>
          </w:p>
        </w:tc>
        <w:tc>
          <w:tcPr>
            <w:tcW w:w="350" w:type="dxa"/>
            <w:tcBorders/>
            <w:shd w:fill="CCEEFF" w:val="clear"/>
            <w:vAlign w:val="bottom"/>
          </w:tcPr>
          <w:p>
            <w:pPr>
              <w:pStyle w:val="TableContents"/>
              <w:bidi w:val="0"/>
              <w:spacing w:before="0" w:after="283"/>
              <w:jc w:val="left"/>
              <w:rPr/>
            </w:pPr>
            <w:r>
              <w:rPr/>
              <w:t>% </w:t>
            </w:r>
          </w:p>
        </w:tc>
      </w:tr>
      <w:tr>
        <w:trPr/>
        <w:tc>
          <w:tcPr>
            <w:tcW w:w="372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2,497</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2,570</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b/>
              </w:rPr>
            </w:pPr>
            <w:r>
              <w:rPr>
                <w:b/>
              </w:rPr>
              <w:t>-2.8</w:t>
            </w:r>
          </w:p>
        </w:tc>
        <w:tc>
          <w:tcPr>
            <w:tcW w:w="336" w:type="dxa"/>
            <w:tcBorders/>
            <w:vAlign w:val="bottom"/>
          </w:tcPr>
          <w:p>
            <w:pPr>
              <w:pStyle w:val="TableContents"/>
              <w:bidi w:val="0"/>
              <w:spacing w:before="0" w:after="283"/>
              <w:jc w:val="left"/>
              <w:rPr>
                <w:b/>
              </w:rPr>
            </w:pPr>
            <w:r>
              <w:rPr>
                <w:b/>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b/>
              </w:rPr>
            </w:pPr>
            <w:r>
              <w:rPr>
                <w:b/>
              </w:rPr>
              <w:t>15,106</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b/>
              </w:rPr>
            </w:pPr>
            <w:r>
              <w:rPr>
                <w:b/>
              </w:rPr>
              <w:t>14,935</w:t>
            </w:r>
          </w:p>
        </w:tc>
        <w:tc>
          <w:tcPr>
            <w:tcW w:w="33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b/>
              </w:rPr>
            </w:pPr>
            <w:r>
              <w:rPr>
                <w:b/>
              </w:rPr>
              <w:t>1.1</w:t>
            </w:r>
          </w:p>
        </w:tc>
        <w:tc>
          <w:tcPr>
            <w:tcW w:w="350" w:type="dxa"/>
            <w:tcBorders/>
            <w:vAlign w:val="bottom"/>
          </w:tcPr>
          <w:p>
            <w:pPr>
              <w:pStyle w:val="TableContents"/>
              <w:bidi w:val="0"/>
              <w:spacing w:before="0" w:after="283"/>
              <w:jc w:val="left"/>
              <w:rPr>
                <w:b/>
              </w:rPr>
            </w:pPr>
            <w:r>
              <w:rPr>
                <w:b/>
              </w:rPr>
              <w:t>% </w:t>
            </w:r>
          </w:p>
        </w:tc>
      </w:tr>
      <w:tr>
        <w:trPr/>
        <w:tc>
          <w:tcPr>
            <w:tcW w:w="37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Load Factor (itinerary,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b/>
              </w:rPr>
            </w:pPr>
            <w:r>
              <w:rPr>
                <w:b/>
              </w:rPr>
              <w:t>p.p.</w:t>
            </w:r>
          </w:p>
        </w:tc>
        <w:tc>
          <w:tcPr>
            <w:tcW w:w="33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right"/>
              <w:rPr>
                <w:b/>
              </w:rPr>
            </w:pPr>
            <w:r>
              <w:rPr>
                <w:b/>
              </w:rPr>
              <w:t>p.p.</w:t>
            </w:r>
          </w:p>
        </w:tc>
        <w:tc>
          <w:tcPr>
            <w:tcW w:w="350" w:type="dxa"/>
            <w:tcBorders/>
            <w:shd w:fill="CCEEFF" w:val="clear"/>
            <w:vAlign w:val="bottom"/>
          </w:tcPr>
          <w:p>
            <w:pPr>
              <w:pStyle w:val="TableContents"/>
              <w:bidi w:val="0"/>
              <w:spacing w:before="0" w:after="283"/>
              <w:jc w:val="left"/>
              <w:rPr/>
            </w:pPr>
            <w:r>
              <w:rPr/>
              <w:t> </w:t>
            </w:r>
          </w:p>
        </w:tc>
      </w:tr>
      <w:tr>
        <w:trPr/>
        <w:tc>
          <w:tcPr>
            <w:tcW w:w="3723"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80.9</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83.8</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-2.9</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83.3</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83.7</w:t>
            </w:r>
          </w:p>
        </w:tc>
        <w:tc>
          <w:tcPr>
            <w:tcW w:w="33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-0.5</w:t>
            </w:r>
          </w:p>
        </w:tc>
        <w:tc>
          <w:tcPr>
            <w:tcW w:w="350" w:type="dxa"/>
            <w:tcBorders/>
            <w:vAlign w:val="bottom"/>
          </w:tcPr>
          <w:p>
            <w:pPr>
              <w:pStyle w:val="TableContents"/>
              <w:bidi w:val="0"/>
              <w:spacing w:before="0" w:after="283"/>
              <w:jc w:val="left"/>
              <w:rPr/>
            </w:pPr>
            <w:r>
              <w:rPr/>
              <w:t> </w:t>
            </w:r>
          </w:p>
        </w:tc>
      </w:tr>
      <w:tr>
        <w:trPr/>
        <w:tc>
          <w:tcPr>
            <w:tcW w:w="3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83.4</w:t>
            </w:r>
          </w:p>
        </w:tc>
        <w:tc>
          <w:tcPr>
            <w:tcW w:w="33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86.4</w:t>
            </w:r>
          </w:p>
        </w:tc>
        <w:tc>
          <w:tcPr>
            <w:tcW w:w="33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-3.1</w:t>
            </w:r>
          </w:p>
        </w:tc>
        <w:tc>
          <w:tcPr>
            <w:tcW w:w="33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85.2</w:t>
            </w:r>
          </w:p>
        </w:tc>
        <w:tc>
          <w:tcPr>
            <w:tcW w:w="33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84.1</w:t>
            </w:r>
          </w:p>
        </w:tc>
        <w:tc>
          <w:tcPr>
            <w:tcW w:w="33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right"/>
              <w:rPr/>
            </w:pPr>
            <w:r>
              <w:rPr/>
              <w:t>1.1</w:t>
            </w:r>
          </w:p>
        </w:tc>
        <w:tc>
          <w:tcPr>
            <w:tcW w:w="350" w:type="dxa"/>
            <w:tcBorders/>
            <w:shd w:fill="CCEEFF" w:val="clear"/>
            <w:vAlign w:val="bottom"/>
          </w:tcPr>
          <w:p>
            <w:pPr>
              <w:pStyle w:val="TableContents"/>
              <w:bidi w:val="0"/>
              <w:spacing w:before="0" w:after="283"/>
              <w:jc w:val="left"/>
              <w:rPr/>
            </w:pPr>
            <w:r>
              <w:rPr/>
              <w:t> </w:t>
            </w:r>
          </w:p>
        </w:tc>
      </w:tr>
      <w:tr>
        <w:trPr/>
        <w:tc>
          <w:tcPr>
            <w:tcW w:w="372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82.7</w:t>
            </w:r>
          </w:p>
        </w:tc>
        <w:tc>
          <w:tcPr>
            <w:tcW w:w="336" w:type="dxa"/>
            <w:tcBorders/>
            <w:vAlign w:val="bottom"/>
          </w:tcPr>
          <w:p>
            <w:pPr>
              <w:pStyle w:val="TableContents"/>
              <w:bidi w:val="0"/>
              <w:spacing w:before="0" w:after="283"/>
              <w:jc w:val="left"/>
              <w:rPr>
                <w:b/>
              </w:rPr>
            </w:pPr>
            <w:r>
              <w:rPr>
                <w:b/>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85.7</w:t>
            </w:r>
          </w:p>
        </w:tc>
        <w:tc>
          <w:tcPr>
            <w:tcW w:w="336" w:type="dxa"/>
            <w:tcBorders/>
            <w:vAlign w:val="bottom"/>
          </w:tcPr>
          <w:p>
            <w:pPr>
              <w:pStyle w:val="TableContents"/>
              <w:bidi w:val="0"/>
              <w:spacing w:before="0" w:after="283"/>
              <w:jc w:val="left"/>
              <w:rPr>
                <w:b/>
              </w:rPr>
            </w:pPr>
            <w:r>
              <w:rPr>
                <w:b/>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b/>
              </w:rPr>
            </w:pPr>
            <w:r>
              <w:rPr>
                <w:b/>
              </w:rPr>
              <w:t>-3.0</w:t>
            </w:r>
          </w:p>
        </w:tc>
        <w:tc>
          <w:tcPr>
            <w:tcW w:w="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b/>
              </w:rPr>
            </w:pPr>
            <w:r>
              <w:rPr>
                <w:b/>
              </w:rPr>
              <w:t>84.7</w:t>
            </w:r>
          </w:p>
        </w:tc>
        <w:tc>
          <w:tcPr>
            <w:tcW w:w="336" w:type="dxa"/>
            <w:tcBorders/>
            <w:vAlign w:val="bottom"/>
          </w:tcPr>
          <w:p>
            <w:pPr>
              <w:pStyle w:val="TableContents"/>
              <w:bidi w:val="0"/>
              <w:spacing w:before="0" w:after="283"/>
              <w:jc w:val="left"/>
              <w:rPr>
                <w:b/>
              </w:rPr>
            </w:pPr>
            <w:r>
              <w:rPr>
                <w:b/>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b/>
              </w:rPr>
            </w:pPr>
            <w:r>
              <w:rPr>
                <w:b/>
              </w:rPr>
              <w:t>84.0</w:t>
            </w:r>
          </w:p>
        </w:tc>
        <w:tc>
          <w:tcPr>
            <w:tcW w:w="335" w:type="dxa"/>
            <w:tcBorders/>
            <w:vAlign w:val="bottom"/>
          </w:tcPr>
          <w:p>
            <w:pPr>
              <w:pStyle w:val="TableContents"/>
              <w:bidi w:val="0"/>
              <w:spacing w:before="0" w:after="283"/>
              <w:jc w:val="left"/>
              <w:rPr>
                <w:b/>
              </w:rPr>
            </w:pPr>
            <w:r>
              <w:rPr>
                <w:b/>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b/>
              </w:rPr>
            </w:pPr>
            <w:r>
              <w:rPr>
                <w:b/>
              </w:rPr>
              <w:t>0.6</w:t>
            </w:r>
          </w:p>
        </w:tc>
        <w:tc>
          <w:tcPr>
            <w:tcW w:w="35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i/>
          <w:sz w:val="20"/>
        </w:rPr>
        <w:t>Figures may not sum to total due to rounding.</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955675" cy="3397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55675" cy="3397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The information included within this report has not been audited and does not provide information on the Company’s future performance. Aeromexico’s future performance depends on many factors and it cannot be inferred that any period’s performance or its year-over-year comparison will be an indicator of similar future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Glossary: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u w:val="single"/>
              </w:rPr>
              <w:t>“</w:t>
            </w:r>
            <w:r>
              <w:rPr>
                <w:rFonts w:ascii="Times New Roman" w:hAnsi="Times New Roman"/>
                <w:sz w:val="20"/>
                <w:u w:val="single"/>
              </w:rPr>
              <w:t>RPMs”</w:t>
            </w:r>
            <w:r>
              <w:rPr>
                <w:rFonts w:ascii="Times New Roman" w:hAnsi="Times New Roman"/>
                <w:sz w:val="20"/>
              </w:rPr>
              <w:t xml:space="preserve"> Revenue Passenger Miles represent one revenue-passenger transported one mile. This includes itinerary and charter flights. The total RPMs equals the number of revenue-passengers transported multiplied by the total distance flown.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u w:val="single"/>
              </w:rPr>
              <w:t>“</w:t>
            </w:r>
            <w:r>
              <w:rPr>
                <w:rFonts w:ascii="Times New Roman" w:hAnsi="Times New Roman"/>
                <w:sz w:val="20"/>
                <w:u w:val="single"/>
              </w:rPr>
              <w:t>ASMs”</w:t>
            </w:r>
            <w:r>
              <w:rPr>
                <w:rFonts w:ascii="Times New Roman" w:hAnsi="Times New Roman"/>
                <w:sz w:val="20"/>
              </w:rPr>
              <w:t xml:space="preserve"> Available Seat Miles represent the number of available seats multiplied by the distance flown. This metric is an indicator of the airline’s capacity. It equals one seat offered for one mile, whether the seat is used.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u w:val="single"/>
              </w:rPr>
              <w:t>“</w:t>
            </w:r>
            <w:r>
              <w:rPr>
                <w:rFonts w:ascii="Times New Roman" w:hAnsi="Times New Roman"/>
                <w:sz w:val="20"/>
                <w:u w:val="single"/>
              </w:rPr>
              <w:t>Load Factor”</w:t>
            </w:r>
            <w:r>
              <w:rPr>
                <w:rFonts w:ascii="Times New Roman" w:hAnsi="Times New Roman"/>
                <w:sz w:val="20"/>
              </w:rPr>
              <w:t xml:space="preserve"> equals the number of passengers transported as a percentage of the number of seats offered. It is a measure of the airline’s capacity utilization. This metric considers the total passengers transported and total seats available in itinerary flights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u w:val="single"/>
              </w:rPr>
              <w:t>“</w:t>
            </w:r>
            <w:r>
              <w:rPr>
                <w:rFonts w:ascii="Times New Roman" w:hAnsi="Times New Roman"/>
                <w:sz w:val="20"/>
                <w:u w:val="single"/>
              </w:rPr>
              <w:t>Passengers”</w:t>
            </w:r>
            <w:r>
              <w:rPr>
                <w:rFonts w:ascii="Times New Roman" w:hAnsi="Times New Roman"/>
                <w:sz w:val="20"/>
              </w:rPr>
              <w:t xml:space="preserve"> refers to the total number of passengers transported by the airline.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This press release contains certain forward-looking statements that reflect the current views and/or expectations of the Company and its management with respect to its performance, business and future events. We use words such as “believe,” “anticipate,” “plan,” “expect,”, “intend,” “target,” “estimate,” “project,” “predict,” “forecast,” “guideline,” “should” and other similar expressions to identify forward-looking statements, but they are not the only way we identify such statements. Such statements are subject to a number of risks, uncertainties and assumptions. We caution you that a number of important factors could cause actual results to differ materially from the plans, objectives, expectations, estimates and intentions expressed in this release. The Company is under no obligation and expressly disclaims any intention or obligation to update or revise any forward-looking statements, whether as a result of new information, future events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About Grupo Aeroméxico </w:t>
      </w:r>
    </w:p>
    <w:p>
      <w:pPr>
        <w:pStyle w:val="TextBody"/>
        <w:bidi w:val="0"/>
        <w:spacing w:before="120" w:after="0"/>
        <w:jc w:val="left"/>
        <w:rPr>
          <w:rFonts w:ascii="Times New Roman" w:hAnsi="Times New Roman"/>
          <w:i/>
          <w:sz w:val="20"/>
        </w:rPr>
      </w:pPr>
      <w:r>
        <w:rPr>
          <w:rFonts w:ascii="Times New Roman" w:hAnsi="Times New Roman"/>
          <w:i/>
          <w:sz w:val="20"/>
        </w:rPr>
        <w:t xml:space="preserve">Grupo Aeroméxico, S.A.B. de C.V., is a holding company whose subsidiaries are engaged in commercial aviation in Mexico and in the promotion of passenger loyalty programs. Aeroméxico, Mexico’s global airline, operates primarily out of Terminal 2 of the Mexico City International Airport. Its destination network extends across Mexico, the United States, Canada, Central America, South America, Asia, and Europe. Aeroméxico’s current operating fleet includes Boeing 787 and 737 aircraft, as well as Embraer 190. Aeroméxico is a founding member of SkyTeam, an alliance celebrating 25 years and offering connectivity across more than 145 countries through its 18 partner airlines. </w:t>
      </w:r>
    </w:p>
    <w:p>
      <w:pPr>
        <w:pStyle w:val="TextBody"/>
        <w:bidi w:val="0"/>
        <w:spacing w:before="240" w:after="0"/>
        <w:jc w:val="left"/>
        <w:rPr>
          <w:rFonts w:ascii="Times New Roman" w:hAnsi="Times New Roman"/>
          <w:i/>
          <w:sz w:val="20"/>
        </w:rPr>
      </w:pPr>
      <w:r>
        <w:rPr>
          <w:rFonts w:ascii="Times New Roman" w:hAnsi="Times New Roman"/>
          <w:i/>
          <w:sz w:val="20"/>
        </w:rPr>
        <w:t xml:space="preserve">www.aeromexico.com </w:t>
      </w:r>
    </w:p>
    <w:p>
      <w:pPr>
        <w:pStyle w:val="TextBody"/>
        <w:bidi w:val="0"/>
        <w:spacing w:before="0" w:after="0"/>
        <w:jc w:val="left"/>
        <w:rPr>
          <w:rFonts w:ascii="Times New Roman" w:hAnsi="Times New Roman"/>
          <w:i/>
          <w:sz w:val="20"/>
        </w:rPr>
      </w:pPr>
      <w:r>
        <w:rPr>
          <w:rFonts w:ascii="Times New Roman" w:hAnsi="Times New Roman"/>
          <w:i/>
          <w:sz w:val="20"/>
        </w:rPr>
        <w:t xml:space="preserve">www.skyteam.com </w:t>
      </w:r>
    </w:p>
    <w:p>
      <w:pPr>
        <w:pStyle w:val="TextBody"/>
        <w:bidi w:val="0"/>
        <w:spacing w:before="0" w:after="0"/>
        <w:jc w:val="left"/>
        <w:rPr/>
      </w:pPr>
      <w:r>
        <w:rPr/>
        <w:t> </w:t>
      </w:r>
    </w:p>
    <w:p>
      <w:pPr>
        <w:pStyle w:val="TextBody"/>
        <w:bidi w:val="0"/>
        <w:spacing w:before="0" w:after="0"/>
        <w:jc w:val="center"/>
        <w:rPr/>
      </w:pPr>
      <w:r>
        <w:rPr/>
        <w:drawing>
          <wp:inline distT="0" distB="0" distL="0" distR="0">
            <wp:extent cx="923925" cy="2190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23925" cy="219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image" Target="media/image5.jpeg"/><Relationship Id="rId18" Type="http://schemas.openxmlformats.org/officeDocument/2006/relationships/image" Target="media/image6.jpeg"/><Relationship Id="rId19" Type="http://schemas.openxmlformats.org/officeDocument/2006/relationships/image" Target="media/image3.jpeg"/><Relationship Id="rId20" Type="http://schemas.openxmlformats.org/officeDocument/2006/relationships/image" Target="media/image4.jpeg"/><Relationship Id="rId21" Type="http://schemas.openxmlformats.org/officeDocument/2006/relationships/image" Target="media/image7.jpeg"/><Relationship Id="rId22" Type="http://schemas.openxmlformats.org/officeDocument/2006/relationships/image" Target="media/image6.jpeg"/><Relationship Id="rId23" Type="http://schemas.openxmlformats.org/officeDocument/2006/relationships/image" Target="media/image3.jpeg"/><Relationship Id="rId24" Type="http://schemas.openxmlformats.org/officeDocument/2006/relationships/image" Target="media/image4.jpeg"/><Relationship Id="rId25" Type="http://schemas.openxmlformats.org/officeDocument/2006/relationships/image" Target="media/image7.jpeg"/><Relationship Id="rId26" Type="http://schemas.openxmlformats.org/officeDocument/2006/relationships/image" Target="media/image6.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7277</Words>
  <Characters>39071</Characters>
  <CharactersWithSpaces>48256</CharactersWithSpaces>
  <Paragraphs>4427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EX-99.4</dc:title>
</cp:coreProperties>
</file>