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0062d6k.htm"/>
      <w:bookmarkStart w:id="1" w:name="ksd18006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001-42931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Grupo Aeroméxico,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240" w:after="0"/>
        <w:jc w:val="center"/>
        <w:rPr>
          <w:rFonts w:ascii="Times New Roman" w:hAnsi="Times New Roman"/>
          <w:b/>
          <w:sz w:val="48"/>
        </w:rPr>
      </w:pPr>
      <w:r>
        <w:rPr>
          <w:rFonts w:ascii="Times New Roman" w:hAnsi="Times New Roman"/>
          <w:b/>
          <w:sz w:val="48"/>
        </w:rPr>
        <w:t xml:space="preserve">Aeromexico Group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Paseo de la Reforma 243, 25th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Col. Cuauhtémoc, Cuauhtémoc 06500 </w:t>
      </w:r>
    </w:p>
    <w:p>
      <w:pPr>
        <w:pStyle w:val="TextBody"/>
        <w:bidi w:val="0"/>
        <w:spacing w:before="0" w:after="0"/>
        <w:jc w:val="center"/>
        <w:rPr>
          <w:rFonts w:ascii="Times New Roman" w:hAnsi="Times New Roman"/>
          <w:b/>
          <w:sz w:val="20"/>
        </w:rPr>
      </w:pPr>
      <w:r>
        <w:rPr>
          <w:rFonts w:ascii="Times New Roman" w:hAnsi="Times New Roman"/>
          <w:b/>
          <w:sz w:val="20"/>
        </w:rPr>
        <w:t xml:space="preserve">Mexico City, Mexico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2026, Grupo Aeroméxico, S.A.B. de C.V. (the “Company”) issued a press release titled “Aeroméxico Announces Court Decision on Aeroméxico-Delta ATI.” A copy of this press release is furnished with this Form 6-K as Exhibit 99.1. </w:t>
      </w:r>
    </w:p>
    <w:p>
      <w:pPr>
        <w:pStyle w:val="TextBody"/>
        <w:bidi w:val="0"/>
        <w:spacing w:before="240" w:after="0"/>
        <w:jc w:val="left"/>
        <w:rPr/>
      </w:pPr>
      <w:r>
        <w:rPr>
          <w:rFonts w:ascii="Times New Roman" w:hAnsi="Times New Roman"/>
          <w:sz w:val="20"/>
        </w:rPr>
        <w:t xml:space="preserve">This report on Form 6-K, including Exhibit 99.1, shall be deemed to be incorporated by reference in the Company’s registration statement on </w:t>
      </w:r>
      <w:hyperlink r:id="rId2">
        <w:r>
          <w:rPr>
            <w:rStyle w:val="InternetLink"/>
            <w:rFonts w:ascii="Times New Roman" w:hAnsi="Times New Roman"/>
            <w:sz w:val="20"/>
          </w:rPr>
          <w:t>Form S-8</w:t>
        </w:r>
      </w:hyperlink>
      <w:r>
        <w:rPr>
          <w:rFonts w:ascii="Times New Roman" w:hAnsi="Times New Roman"/>
          <w:sz w:val="20"/>
        </w:rPr>
        <w:t xml:space="preserve"> (No. 333-294354).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2"/>
        <w:gridCol w:w="420"/>
        <w:gridCol w:w="9243"/>
      </w:tblGrid>
      <w:tr>
        <w:trPr/>
        <w:tc>
          <w:tcPr>
            <w:tcW w:w="54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9243" w:type="dxa"/>
            <w:tcBorders/>
            <w:vAlign w:val="center"/>
          </w:tcPr>
          <w:p>
            <w:pPr>
              <w:pStyle w:val="TableContents"/>
              <w:bidi w:val="0"/>
              <w:spacing w:before="0" w:after="283"/>
              <w:jc w:val="left"/>
              <w:rPr>
                <w:sz w:val="4"/>
                <w:szCs w:val="4"/>
              </w:rPr>
            </w:pPr>
            <w:r>
              <w:rPr>
                <w:sz w:val="4"/>
                <w:szCs w:val="4"/>
              </w:rPr>
            </w:r>
          </w:p>
        </w:tc>
      </w:tr>
      <w:tr>
        <w:trPr/>
        <w:tc>
          <w:tcPr>
            <w:tcW w:w="54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r>
          </w:p>
        </w:tc>
        <w:tc>
          <w:tcPr>
            <w:tcW w:w="420" w:type="dxa"/>
            <w:tcBorders/>
            <w:vAlign w:val="bottom"/>
          </w:tcPr>
          <w:p>
            <w:pPr>
              <w:pStyle w:val="TableContents"/>
              <w:bidi w:val="0"/>
              <w:spacing w:before="0" w:after="283"/>
              <w:jc w:val="left"/>
              <w:rPr/>
            </w:pPr>
            <w:r>
              <w:rPr/>
              <w:t>  </w:t>
            </w:r>
          </w:p>
        </w:tc>
        <w:tc>
          <w:tcPr>
            <w:tcW w:w="924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542" w:type="dxa"/>
            <w:tcBorders/>
            <w:vAlign w:val="center"/>
          </w:tcPr>
          <w:p>
            <w:pPr>
              <w:pStyle w:val="TableContents"/>
              <w:bidi w:val="0"/>
              <w:spacing w:before="0" w:after="283"/>
              <w:jc w:val="left"/>
              <w:rPr>
                <w:sz w:val="4"/>
                <w:szCs w:val="4"/>
              </w:rPr>
            </w:pPr>
            <w:r>
              <w:rPr>
                <w:sz w:val="4"/>
                <w:szCs w:val="4"/>
              </w:rPr>
            </w:r>
          </w:p>
        </w:tc>
        <w:tc>
          <w:tcPr>
            <w:tcW w:w="9663" w:type="dxa"/>
            <w:gridSpan w:val="2"/>
            <w:tcBorders/>
            <w:vAlign w:val="center"/>
          </w:tcPr>
          <w:p>
            <w:pPr>
              <w:pStyle w:val="TableContents"/>
              <w:bidi w:val="0"/>
              <w:spacing w:before="0" w:after="283"/>
              <w:jc w:val="left"/>
              <w:rPr>
                <w:sz w:val="4"/>
                <w:szCs w:val="4"/>
              </w:rPr>
            </w:pPr>
            <w:r>
              <w:rPr>
                <w:sz w:val="4"/>
                <w:szCs w:val="4"/>
              </w:rPr>
            </w:r>
          </w:p>
        </w:tc>
      </w:tr>
      <w:tr>
        <w:trPr/>
        <w:tc>
          <w:tcPr>
            <w:tcW w:w="542" w:type="dxa"/>
            <w:tcBorders/>
          </w:tcPr>
          <w:p>
            <w:pPr>
              <w:pStyle w:val="TableContents"/>
              <w:bidi w:val="0"/>
              <w:spacing w:before="0" w:after="283"/>
              <w:jc w:val="left"/>
              <w:rPr/>
            </w:pPr>
            <w:r>
              <w:rPr/>
              <w:t>99.1</w:t>
            </w:r>
          </w:p>
        </w:tc>
        <w:tc>
          <w:tcPr>
            <w:tcW w:w="420" w:type="dxa"/>
            <w:tcBorders/>
            <w:vAlign w:val="bottom"/>
          </w:tcPr>
          <w:p>
            <w:pPr>
              <w:pStyle w:val="TableContents"/>
              <w:bidi w:val="0"/>
              <w:spacing w:before="0" w:after="283"/>
              <w:jc w:val="left"/>
              <w:rPr/>
            </w:pPr>
            <w:r>
              <w:rPr/>
              <w:t>  </w:t>
            </w:r>
          </w:p>
        </w:tc>
        <w:tc>
          <w:tcPr>
            <w:tcW w:w="9243" w:type="dxa"/>
            <w:tcBorders/>
          </w:tcPr>
          <w:p>
            <w:pPr>
              <w:pStyle w:val="TableContents"/>
              <w:bidi w:val="0"/>
              <w:spacing w:before="0" w:after="283"/>
              <w:jc w:val="left"/>
              <w:rPr/>
            </w:pPr>
            <w:hyperlink w:anchor="d180062dex991.htm">
              <w:r>
                <w:rPr>
                  <w:rStyle w:val="InternetLink"/>
                </w:rPr>
                <w:t xml:space="preserve">Press Release dated August 20, 2026, titled “Aeroméxico Announces Court Decision on Aeroméxico-Delta ATI.”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1"/>
        <w:gridCol w:w="109"/>
        <w:gridCol w:w="394"/>
        <w:gridCol w:w="109"/>
        <w:gridCol w:w="616"/>
        <w:gridCol w:w="109"/>
        <w:gridCol w:w="4467"/>
      </w:tblGrid>
      <w:tr>
        <w:trPr/>
        <w:tc>
          <w:tcPr>
            <w:tcW w:w="440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467" w:type="dxa"/>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92" w:type="dxa"/>
            <w:gridSpan w:val="3"/>
            <w:tcBorders/>
          </w:tcPr>
          <w:p>
            <w:pPr>
              <w:pStyle w:val="TableContents"/>
              <w:bidi w:val="0"/>
              <w:spacing w:before="0" w:after="283"/>
              <w:jc w:val="left"/>
              <w:rPr>
                <w:b/>
              </w:rPr>
            </w:pPr>
            <w:r>
              <w:rPr>
                <w:b/>
              </w:rPr>
              <w:t>Grupo Aeroméxico, S.A.B. de C.V.</w:t>
            </w:r>
          </w:p>
        </w:tc>
      </w:tr>
      <w:tr>
        <w:trPr>
          <w:trHeight w:val="240" w:hRule="atLeast"/>
        </w:trPr>
        <w:tc>
          <w:tcPr>
            <w:tcW w:w="4401" w:type="dxa"/>
            <w:tcBorders/>
            <w:vAlign w:val="center"/>
          </w:tcPr>
          <w:p>
            <w:pPr>
              <w:pStyle w:val="TableContents"/>
              <w:bidi w:val="0"/>
              <w:spacing w:before="0" w:after="283"/>
              <w:jc w:val="left"/>
              <w:rPr>
                <w:sz w:val="4"/>
                <w:szCs w:val="4"/>
              </w:rPr>
            </w:pPr>
            <w:r>
              <w:rPr>
                <w:sz w:val="4"/>
                <w:szCs w:val="4"/>
              </w:rPr>
            </w:r>
          </w:p>
        </w:tc>
        <w:tc>
          <w:tcPr>
            <w:tcW w:w="503"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576" w:type="dxa"/>
            <w:gridSpan w:val="2"/>
            <w:tcBorders/>
            <w:vAlign w:val="center"/>
          </w:tcPr>
          <w:p>
            <w:pPr>
              <w:pStyle w:val="TableContents"/>
              <w:bidi w:val="0"/>
              <w:spacing w:before="0" w:after="283"/>
              <w:jc w:val="left"/>
              <w:rPr>
                <w:sz w:val="4"/>
                <w:szCs w:val="4"/>
              </w:rPr>
            </w:pPr>
            <w:r>
              <w:rPr>
                <w:sz w:val="4"/>
                <w:szCs w:val="4"/>
              </w:rPr>
            </w:r>
          </w:p>
        </w:tc>
      </w:tr>
      <w:tr>
        <w:trPr/>
        <w:tc>
          <w:tcPr>
            <w:tcW w:w="4401" w:type="dxa"/>
            <w:tcBorders/>
          </w:tcPr>
          <w:p>
            <w:pPr>
              <w:pStyle w:val="TableContents"/>
              <w:bidi w:val="0"/>
              <w:spacing w:before="0" w:after="283"/>
              <w:jc w:val="left"/>
              <w:rPr/>
            </w:pPr>
            <w:r>
              <w:rPr/>
              <w:t>Date: August 21, 2026</w:t>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Ernesto Gómez Pombo</w:t>
            </w:r>
          </w:p>
        </w:tc>
      </w:tr>
      <w:tr>
        <w:trPr/>
        <w:tc>
          <w:tcPr>
            <w:tcW w:w="440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16"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467" w:type="dxa"/>
            <w:tcBorders/>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180062dex991.htm"/>
      <w:bookmarkStart w:id="3" w:name="ksd18006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5814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581400" cy="8953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Aeromexico Announces Court Decision on Aeromexico-Delta ATI </w:t>
      </w:r>
    </w:p>
    <w:p>
      <w:pPr>
        <w:pStyle w:val="TextBody"/>
        <w:bidi w:val="0"/>
        <w:spacing w:before="240" w:after="0"/>
        <w:jc w:val="left"/>
        <w:rPr>
          <w:rFonts w:ascii="Times New Roman" w:hAnsi="Times New Roman"/>
          <w:sz w:val="20"/>
        </w:rPr>
      </w:pPr>
      <w:r>
        <w:rPr>
          <w:rFonts w:ascii="Times New Roman" w:hAnsi="Times New Roman"/>
          <w:b/>
          <w:sz w:val="20"/>
        </w:rPr>
        <w:t>Mexico City, Mexico, August</w:t>
      </w:r>
      <w:r>
        <w:rPr>
          <w:rFonts w:ascii="Times New Roman" w:hAnsi="Times New Roman"/>
          <w:sz w:val="20"/>
        </w:rPr>
        <w:t> </w:t>
      </w:r>
      <w:r>
        <w:rPr>
          <w:rFonts w:ascii="Times New Roman" w:hAnsi="Times New Roman"/>
          <w:b/>
          <w:sz w:val="20"/>
        </w:rPr>
        <w:t>20, 2026</w:t>
      </w:r>
      <w:r>
        <w:rPr>
          <w:rFonts w:ascii="Times New Roman" w:hAnsi="Times New Roman"/>
          <w:sz w:val="20"/>
        </w:rPr>
        <w:t xml:space="preserve"> – Grupo Aeroméxico, S.A.B. de C.V. (“</w:t>
      </w:r>
      <w:r>
        <w:rPr>
          <w:rFonts w:ascii="Times New Roman" w:hAnsi="Times New Roman"/>
          <w:sz w:val="20"/>
          <w:u w:val="single"/>
        </w:rPr>
        <w:t>Aeroméxico</w:t>
      </w:r>
      <w:r>
        <w:rPr>
          <w:rFonts w:ascii="Times New Roman" w:hAnsi="Times New Roman"/>
          <w:sz w:val="20"/>
        </w:rPr>
        <w:t>”) (</w:t>
      </w:r>
      <w:r>
        <w:rPr>
          <w:rFonts w:ascii="Times New Roman" w:hAnsi="Times New Roman"/>
          <w:b/>
          <w:sz w:val="20"/>
        </w:rPr>
        <w:t>NYSE: AERO; BMV: AERO</w:t>
      </w:r>
      <w:r>
        <w:rPr>
          <w:rFonts w:ascii="Times New Roman" w:hAnsi="Times New Roman"/>
          <w:sz w:val="20"/>
        </w:rPr>
        <w:t xml:space="preserve">) announced that today the U.S. Court of Appeals for the Eleventh Circuit ruled in favor of Aeromexico and Delta Air Lines, Inc. and vacated the U.S. Department of Transportation’s order terminating approval of the Aeromexico-Delta joint venture and its antitrust immunity.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joint venture and its antitrust immunity remain in effect, allowing Aeromexico and Delta to continue providing enhanced connectivity, a broader network, more convenient service options and increased competition for customers traveling between Mexico and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Aeromexico is reviewing the Court’s opinion and potential next steps with Delta and its legal advisors and will keep the market informed of any material developments going forward.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5"/>
        <w:gridCol w:w="123"/>
        <w:gridCol w:w="7437"/>
      </w:tblGrid>
      <w:tr>
        <w:trPr/>
        <w:tc>
          <w:tcPr>
            <w:tcW w:w="26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37" w:type="dxa"/>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left"/>
              <w:rPr>
                <w:b/>
              </w:rPr>
            </w:pPr>
            <w:r>
              <w:rPr>
                <w:b/>
              </w:rPr>
              <w:t>Contact:</w:t>
            </w:r>
          </w:p>
        </w:tc>
        <w:tc>
          <w:tcPr>
            <w:tcW w:w="123"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left"/>
              <w:rPr/>
            </w:pPr>
            <w:r>
              <w:rPr/>
              <w:t>Investor Relations</w:t>
            </w:r>
          </w:p>
        </w:tc>
        <w:tc>
          <w:tcPr>
            <w:tcW w:w="123"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283"/>
              <w:jc w:val="left"/>
              <w:rPr>
                <w:u w:val="single"/>
              </w:rPr>
            </w:pPr>
            <w:r>
              <w:rPr>
                <w:u w:val="single"/>
              </w:rPr>
              <w:t>aminvestorrelations@aeromexico.com</w:t>
            </w:r>
          </w:p>
        </w:tc>
      </w:tr>
      <w:tr>
        <w:trPr/>
        <w:tc>
          <w:tcPr>
            <w:tcW w:w="2645" w:type="dxa"/>
            <w:tcBorders/>
          </w:tcPr>
          <w:p>
            <w:pPr>
              <w:pStyle w:val="TableContents"/>
              <w:bidi w:val="0"/>
              <w:spacing w:before="0" w:after="283"/>
              <w:jc w:val="left"/>
              <w:rPr/>
            </w:pPr>
            <w:r>
              <w:rPr/>
              <w:t>Corporate Communications</w:t>
            </w:r>
          </w:p>
        </w:tc>
        <w:tc>
          <w:tcPr>
            <w:tcW w:w="123" w:type="dxa"/>
            <w:tcBorders/>
            <w:vAlign w:val="bottom"/>
          </w:tcPr>
          <w:p>
            <w:pPr>
              <w:pStyle w:val="TableContents"/>
              <w:bidi w:val="0"/>
              <w:spacing w:before="0" w:after="283"/>
              <w:jc w:val="left"/>
              <w:rPr/>
            </w:pPr>
            <w:r>
              <w:rPr/>
              <w:t>  </w:t>
            </w:r>
          </w:p>
        </w:tc>
        <w:tc>
          <w:tcPr>
            <w:tcW w:w="7437" w:type="dxa"/>
            <w:tcBorders/>
          </w:tcPr>
          <w:p>
            <w:pPr>
              <w:pStyle w:val="TableContents"/>
              <w:bidi w:val="0"/>
              <w:spacing w:before="0" w:after="283"/>
              <w:jc w:val="left"/>
              <w:rPr>
                <w:u w:val="single"/>
              </w:rPr>
            </w:pPr>
            <w:r>
              <w:rPr>
                <w:u w:val="single"/>
              </w:rPr>
              <w:t>amcomunicacioncorporativa@aeromexico.com</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About Grupo Aeroméxico </w:t>
      </w:r>
    </w:p>
    <w:p>
      <w:pPr>
        <w:pStyle w:val="TextBody"/>
        <w:bidi w:val="0"/>
        <w:spacing w:before="120" w:after="0"/>
        <w:jc w:val="left"/>
        <w:rPr>
          <w:rFonts w:ascii="Times New Roman" w:hAnsi="Times New Roman"/>
          <w:i/>
          <w:sz w:val="20"/>
        </w:rPr>
      </w:pPr>
      <w:r>
        <w:rPr>
          <w:rFonts w:ascii="Times New Roman" w:hAnsi="Times New Roman"/>
          <w:i/>
          <w:sz w:val="20"/>
        </w:rPr>
        <w:t xml:space="preserve">Grupo Aeroméxico, S.A.B. de C.V. is a holding company whose subsidiaries are engaged in commercial aviation in Mexico and the promotion of passenger loyalty programs. Aeroméxico, Mexico’s global airline, has its main hub at Terminal 2 of Mexico City International Airport. Its destination network reaches Mexico, the United States, Canada, Central America, South America, Asia and Europe. The Group’s current operating fleet includes Boeing 787 and 737 aircraft, as well as Embraer 190 aircraft. Aeroméxico is a founding member of SkyTeam, an alliance that celebrates its 25th anniversary and offers connectivity in more than 145 countries through its 18 member airlines. </w:t>
      </w:r>
    </w:p>
    <w:p>
      <w:pPr>
        <w:pStyle w:val="TextBody"/>
        <w:bidi w:val="0"/>
        <w:spacing w:before="240" w:after="0"/>
        <w:jc w:val="center"/>
        <w:rPr>
          <w:rFonts w:ascii="Times New Roman" w:hAnsi="Times New Roman"/>
          <w:i/>
          <w:sz w:val="20"/>
          <w:u w:val="single"/>
        </w:rPr>
      </w:pPr>
      <w:r>
        <w:rPr>
          <w:rFonts w:ascii="Times New Roman" w:hAnsi="Times New Roman"/>
          <w:i/>
          <w:sz w:val="20"/>
          <w:u w:val="single"/>
        </w:rPr>
        <w:t xml:space="preserve">www.aeromexico.com </w:t>
      </w:r>
    </w:p>
    <w:p>
      <w:pPr>
        <w:pStyle w:val="TextBody"/>
        <w:bidi w:val="0"/>
        <w:spacing w:before="0" w:after="0"/>
        <w:jc w:val="center"/>
        <w:rPr>
          <w:rFonts w:ascii="Times New Roman" w:hAnsi="Times New Roman"/>
          <w:i/>
          <w:sz w:val="20"/>
          <w:u w:val="single"/>
        </w:rPr>
      </w:pPr>
      <w:r>
        <w:rPr>
          <w:rFonts w:ascii="Times New Roman" w:hAnsi="Times New Roman"/>
          <w:i/>
          <w:sz w:val="20"/>
          <w:u w:val="single"/>
        </w:rPr>
        <w:t xml:space="preserve">www.skyteam.com </w:t>
      </w:r>
    </w:p>
    <w:p>
      <w:pPr>
        <w:pStyle w:val="TextBody"/>
        <w:bidi w:val="0"/>
        <w:spacing w:before="24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release contains certain forward-looking statements within the meaning of the Private Securities Litigation Reform Act, which reflect the current views and/or expectations of the Company and its management regarding its performance, business and future events. We use words such as “believes,” “anticipates,” “plans,” “expects,” “intends,” “target,” “estimates,” “projects,” “predicts,” “guidance,” “forecast,” “outlook” and other similar expressions to identify such statements. These statements are subject to various risks, uncertainties and assumptions. Several factors could cause actual results to differ materially from the plans, objectives, expectations, estimates and intentions expressed in this release. Such factors include, among others: external risks, security concerns, health threats, accidents, global instability, security breaches, terrorism and natural disasters; economic conditions in Mexico and internationally and their impact on customer travel behavior; volatility in the fuel market; the Company’s ability to meet its financial obligations, obtain financing and maintain liquidity; its ability to attract and retain key personnel; dependence on aircraft manufacturers and other suppliers; aircraft maintenance and utilization costs; changes in airport fees; air traffic congestion; the competitive environment of the aviation industry; and other factors described in the “Risk Factors” section of the Company’s final prospectus dated November 5, 2025 relating to its initial public offering, as well as in other documents filed with or furnished to the SEC. Forward-looking statements are based on information available at the time they are made and on management’s good-faith belief regarding future events. The Company undertakes no obligation to update or revise such statements. Likewise, the Company assumes no obligation to inform the market, through official announcements, of future purchases of shares by its directors and officers, except as required by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61861/000119312526108546/d126338ds8.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763</Words>
  <Characters>4612</Characters>
  <CharactersWithSpaces>5405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