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2443d6k.htm"/>
      <w:bookmarkStart w:id="1" w:name="ksd13244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001-42931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Aeromexico Group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Paseo de la Reforma 243, 25th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Renacimiento,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w:t>
      </w:r>
    </w:p>
    <w:p>
      <w:pPr>
        <w:pStyle w:val="TextBody"/>
        <w:bidi w:val="0"/>
        <w:spacing w:before="0" w:after="0"/>
        <w:jc w:val="center"/>
        <w:rPr>
          <w:rFonts w:ascii="Times New Roman" w:hAnsi="Times New Roman"/>
          <w:b/>
          <w:sz w:val="20"/>
        </w:rPr>
      </w:pPr>
      <w:r>
        <w:rPr>
          <w:rFonts w:ascii="Times New Roman" w:hAnsi="Times New Roman"/>
          <w:b/>
          <w:sz w:val="20"/>
        </w:rPr>
        <w:t xml:space="preserve">United Mexican States </w:t>
      </w:r>
    </w:p>
    <w:p>
      <w:pPr>
        <w:pStyle w:val="TextBody"/>
        <w:bidi w:val="0"/>
        <w:spacing w:before="0" w:after="0"/>
        <w:jc w:val="center"/>
        <w:rPr>
          <w:rFonts w:ascii="Times New Roman" w:hAnsi="Times New Roman"/>
          <w:b/>
          <w:sz w:val="20"/>
        </w:rPr>
      </w:pPr>
      <w:r>
        <w:rPr>
          <w:rFonts w:ascii="Times New Roman" w:hAnsi="Times New Roman"/>
          <w:b/>
          <w:sz w:val="20"/>
        </w:rPr>
        <w:t xml:space="preserve">+52 (55) 9132 4000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Grupo Aeroméxico, S.A.B. de C.V. (the “Company”) issued a press release titled “Grupo Aeromexico Reports Resolutions Approved at the Annual Ordinary Shareholders’ Meeting Held on April 30, 2026.” A copy of this press release is furnished with this Form 6-K as Exhibit 99.1.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
        <w:gridCol w:w="428"/>
        <w:gridCol w:w="9244"/>
      </w:tblGrid>
      <w:tr>
        <w:trPr/>
        <w:tc>
          <w:tcPr>
            <w:tcW w:w="53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9244" w:type="dxa"/>
            <w:tcBorders/>
            <w:vAlign w:val="center"/>
          </w:tcPr>
          <w:p>
            <w:pPr>
              <w:pStyle w:val="TableContents"/>
              <w:bidi w:val="0"/>
              <w:spacing w:before="0" w:after="283"/>
              <w:jc w:val="left"/>
              <w:rPr>
                <w:sz w:val="4"/>
                <w:szCs w:val="4"/>
              </w:rPr>
            </w:pPr>
            <w:r>
              <w:rPr>
                <w:sz w:val="4"/>
                <w:szCs w:val="4"/>
              </w:rPr>
            </w:r>
          </w:p>
        </w:tc>
      </w:tr>
      <w:tr>
        <w:trPr/>
        <w:tc>
          <w:tcPr>
            <w:tcW w:w="53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r>
          </w:p>
        </w:tc>
        <w:tc>
          <w:tcPr>
            <w:tcW w:w="428" w:type="dxa"/>
            <w:tcBorders/>
            <w:vAlign w:val="bottom"/>
          </w:tcPr>
          <w:p>
            <w:pPr>
              <w:pStyle w:val="TableContents"/>
              <w:bidi w:val="0"/>
              <w:spacing w:before="0" w:after="283"/>
              <w:jc w:val="left"/>
              <w:rPr/>
            </w:pPr>
            <w:r>
              <w:rPr/>
              <w:t>  </w:t>
            </w:r>
          </w:p>
        </w:tc>
        <w:tc>
          <w:tcPr>
            <w:tcW w:w="9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533" w:type="dxa"/>
            <w:tcBorders/>
            <w:vAlign w:val="center"/>
          </w:tcPr>
          <w:p>
            <w:pPr>
              <w:pStyle w:val="TableContents"/>
              <w:bidi w:val="0"/>
              <w:spacing w:before="0" w:after="283"/>
              <w:jc w:val="left"/>
              <w:rPr>
                <w:sz w:val="4"/>
                <w:szCs w:val="4"/>
              </w:rPr>
            </w:pPr>
            <w:r>
              <w:rPr>
                <w:sz w:val="4"/>
                <w:szCs w:val="4"/>
              </w:rPr>
            </w:r>
          </w:p>
        </w:tc>
        <w:tc>
          <w:tcPr>
            <w:tcW w:w="9672" w:type="dxa"/>
            <w:gridSpan w:val="2"/>
            <w:tcBorders/>
            <w:vAlign w:val="center"/>
          </w:tcPr>
          <w:p>
            <w:pPr>
              <w:pStyle w:val="TableContents"/>
              <w:bidi w:val="0"/>
              <w:spacing w:before="0" w:after="283"/>
              <w:jc w:val="left"/>
              <w:rPr>
                <w:sz w:val="4"/>
                <w:szCs w:val="4"/>
              </w:rPr>
            </w:pPr>
            <w:r>
              <w:rPr>
                <w:sz w:val="4"/>
                <w:szCs w:val="4"/>
              </w:rPr>
            </w:r>
          </w:p>
        </w:tc>
      </w:tr>
      <w:tr>
        <w:trPr/>
        <w:tc>
          <w:tcPr>
            <w:tcW w:w="533" w:type="dxa"/>
            <w:tcBorders/>
          </w:tcPr>
          <w:p>
            <w:pPr>
              <w:pStyle w:val="TableContents"/>
              <w:bidi w:val="0"/>
              <w:spacing w:before="0" w:after="283"/>
              <w:jc w:val="left"/>
              <w:rPr/>
            </w:pPr>
            <w:r>
              <w:rPr/>
              <w:t>99.1</w:t>
            </w:r>
          </w:p>
        </w:tc>
        <w:tc>
          <w:tcPr>
            <w:tcW w:w="428"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hyperlink w:anchor="d132443dex991.htm">
              <w:r>
                <w:rPr>
                  <w:rStyle w:val="InternetLink"/>
                </w:rPr>
                <w:t xml:space="preserve">Press Release dated April 30, 2026, titled “Grupo Aeromexico Reports Resolutions Approved at the Annual Ordinary Shareholders’ Meeting Held on April 30,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1"/>
        <w:gridCol w:w="109"/>
        <w:gridCol w:w="394"/>
        <w:gridCol w:w="109"/>
        <w:gridCol w:w="616"/>
        <w:gridCol w:w="109"/>
        <w:gridCol w:w="4467"/>
      </w:tblGrid>
      <w:tr>
        <w:trPr/>
        <w:tc>
          <w:tcPr>
            <w:tcW w:w="440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67" w:type="dxa"/>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92" w:type="dxa"/>
            <w:gridSpan w:val="3"/>
            <w:tcBorders/>
          </w:tcPr>
          <w:p>
            <w:pPr>
              <w:pStyle w:val="TableContents"/>
              <w:bidi w:val="0"/>
              <w:spacing w:before="0" w:after="283"/>
              <w:jc w:val="left"/>
              <w:rPr>
                <w:b/>
              </w:rPr>
            </w:pPr>
            <w:r>
              <w:rPr>
                <w:b/>
              </w:rPr>
              <w:t xml:space="preserve">Grupo Aeroméxico, S.A.B. de C.V. </w:t>
            </w:r>
          </w:p>
        </w:tc>
      </w:tr>
      <w:tr>
        <w:trPr>
          <w:trHeight w:val="240" w:hRule="atLeast"/>
        </w:trPr>
        <w:tc>
          <w:tcPr>
            <w:tcW w:w="4401" w:type="dxa"/>
            <w:tcBorders/>
            <w:vAlign w:val="center"/>
          </w:tcPr>
          <w:p>
            <w:pPr>
              <w:pStyle w:val="TableContents"/>
              <w:bidi w:val="0"/>
              <w:spacing w:before="0" w:after="283"/>
              <w:jc w:val="left"/>
              <w:rPr>
                <w:sz w:val="4"/>
                <w:szCs w:val="4"/>
              </w:rPr>
            </w:pPr>
            <w:r>
              <w:rPr>
                <w:sz w:val="4"/>
                <w:szCs w:val="4"/>
              </w:rPr>
            </w:r>
          </w:p>
        </w:tc>
        <w:tc>
          <w:tcPr>
            <w:tcW w:w="503"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pPr>
            <w:r>
              <w:rPr/>
              <w:t>Date: May 1, 2026</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132443dex991.htm"/>
      <w:bookmarkStart w:id="3" w:name="ksd13244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8289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628650"/>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AEROMEXICO, S.A.B. DE C.V. </w:t>
      </w:r>
    </w:p>
    <w:p>
      <w:pPr>
        <w:pStyle w:val="TextBody"/>
        <w:bidi w:val="0"/>
        <w:spacing w:before="0" w:after="0"/>
        <w:jc w:val="center"/>
        <w:rPr>
          <w:rFonts w:ascii="Times New Roman" w:hAnsi="Times New Roman"/>
          <w:sz w:val="20"/>
        </w:rPr>
      </w:pPr>
      <w:r>
        <w:rPr>
          <w:rFonts w:ascii="Times New Roman" w:hAnsi="Times New Roman"/>
          <w:sz w:val="20"/>
        </w:rPr>
        <w:t xml:space="preserve">(52) 55-9132-4000 </w:t>
      </w:r>
    </w:p>
    <w:p>
      <w:pPr>
        <w:pStyle w:val="TextBody"/>
        <w:bidi w:val="0"/>
        <w:spacing w:before="0" w:after="0"/>
        <w:jc w:val="center"/>
        <w:rPr>
          <w:rFonts w:ascii="Times New Roman" w:hAnsi="Times New Roman"/>
          <w:sz w:val="20"/>
        </w:rPr>
      </w:pPr>
      <w:r>
        <w:rPr>
          <w:rFonts w:ascii="Times New Roman" w:hAnsi="Times New Roman"/>
          <w:sz w:val="20"/>
        </w:rPr>
        <w:t xml:space="preserve">aminvestorrelations@aeromexico.com </w:t>
      </w:r>
    </w:p>
    <w:p>
      <w:pPr>
        <w:pStyle w:val="TextBody"/>
        <w:bidi w:val="0"/>
        <w:spacing w:before="240" w:after="0"/>
        <w:jc w:val="center"/>
        <w:rPr>
          <w:rFonts w:ascii="Times New Roman" w:hAnsi="Times New Roman"/>
          <w:b/>
          <w:sz w:val="20"/>
        </w:rPr>
      </w:pPr>
      <w:r>
        <w:rPr>
          <w:rFonts w:ascii="Times New Roman" w:hAnsi="Times New Roman"/>
          <w:b/>
          <w:sz w:val="20"/>
        </w:rPr>
        <w:t xml:space="preserve">Grupo Aeromexico Reports Resolutions Approved at the Annual Ordinary Shareholders’ Meeting Held on April 30, 2026 </w:t>
      </w:r>
    </w:p>
    <w:p>
      <w:pPr>
        <w:pStyle w:val="TextBody"/>
        <w:bidi w:val="0"/>
        <w:spacing w:before="120" w:after="0"/>
        <w:jc w:val="left"/>
        <w:rPr>
          <w:rFonts w:ascii="Times New Roman" w:hAnsi="Times New Roman"/>
          <w:sz w:val="20"/>
        </w:rPr>
      </w:pPr>
      <w:r>
        <w:rPr>
          <w:rFonts w:ascii="Times New Roman" w:hAnsi="Times New Roman"/>
          <w:sz w:val="20"/>
        </w:rPr>
        <w:t xml:space="preserve">Mexico City, April 30, 2026. Grupo Aeroméxico, S.A.B. de C.V. (“Aeroméxico”) (BMV &amp; NYSE: AERO) reports that the Annual Ordinary Shareholders’ Meeting held on April 30, 2026, in Mexico City approved the resolutions summarized below: </w:t>
      </w:r>
    </w:p>
    <w:p>
      <w:pPr>
        <w:pStyle w:val="TextBody"/>
        <w:bidi w:val="0"/>
        <w:spacing w:before="240" w:after="0"/>
        <w:jc w:val="center"/>
        <w:rPr>
          <w:rFonts w:ascii="Times New Roman" w:hAnsi="Times New Roman"/>
          <w:b/>
          <w:sz w:val="20"/>
        </w:rPr>
      </w:pPr>
      <w:r>
        <w:rPr>
          <w:rFonts w:ascii="Times New Roman" w:hAnsi="Times New Roman"/>
          <w:b/>
          <w:sz w:val="20"/>
        </w:rPr>
        <w:t xml:space="preserve">Annual Ordinary Shareholders’ Meeting </w:t>
      </w:r>
    </w:p>
    <w:p>
      <w:pPr>
        <w:pStyle w:val="TextBody"/>
        <w:bidi w:val="0"/>
        <w:spacing w:before="0" w:after="0"/>
        <w:jc w:val="center"/>
        <w:rPr>
          <w:rFonts w:ascii="Times New Roman" w:hAnsi="Times New Roman"/>
          <w:b/>
          <w:sz w:val="20"/>
        </w:rPr>
      </w:pPr>
      <w:r>
        <w:rPr>
          <w:rFonts w:ascii="Times New Roman" w:hAnsi="Times New Roman"/>
          <w:b/>
          <w:sz w:val="20"/>
        </w:rPr>
        <w:t xml:space="preserve">Summary of Resolutions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reports and opinions relating to fiscal year 2025 were presented and approved in their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Officer’s report to the Board of Directors, accompanied by the external auditor’s report, regarding the Company’s operations and results, as well as the opinion of the Board of Directors on the content of such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principal accounting policies and criteria and information policies followed in the preparation of the Company’s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on the activities and transactions in which the Board of Directors participated.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of the Audit and Corporate Governance Committee on its activities during fiscal year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tax audit report for fiscal year 2024 was approved in compliance with Article 76, Section XIX, of the Mexican Income Tax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consolidated audited financial statements as of December 31, 2025 were approved in all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proposal of the Board of Directors, and considering that the consolidated audited financial statements of the Company and its subsidiaries for the year ended December 31, 2025 reflect net income, it was resolved to allocate such net income to retained earnings, while the balances of the Company’s legal reserve and reserve for the acquisition of treasury shares, as applicable, shall remain as reflected in the aforementioned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regarding the status of the Company’s share repurchase program was presented. Such report states that the share repurchase program is currently suspended and shall only be resumed if so determined by the Board of Directors, in which case the Company’s General Shareholders’ Meeting would be informed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actions of the Board of Directors during fiscal year 2025, as well as from January through April 2026, were approved, and the members of the Board of Directors, as well as the non-member secretary and assistant secretary thereof, were released from any liability they may have incurred in the lawful performance of their duties through the date of the Meeting.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of Myriam Guadalupe de la Vega Arizpe as a regular member of the Company’s Board of Directors was approved pursuant to the formal proposal made by the Mexican investors, effective as of the date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was resolved that the Company’s Board of Directors shall be comprised as follows: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Regular Directors </w:t>
      </w:r>
    </w:p>
    <w:p>
      <w:pPr>
        <w:pStyle w:val="TextBody"/>
        <w:bidi w:val="0"/>
        <w:spacing w:before="240" w:after="0"/>
        <w:jc w:val="left"/>
        <w:rPr>
          <w:rFonts w:ascii="Times New Roman" w:hAnsi="Times New Roman"/>
          <w:sz w:val="20"/>
        </w:rPr>
      </w:pPr>
      <w:r>
        <w:rPr>
          <w:rFonts w:ascii="Times New Roman" w:hAnsi="Times New Roman"/>
          <w:sz w:val="20"/>
        </w:rPr>
        <w:t xml:space="preserve">Francisco Javier de Arrigunaga Gómez del Campo </w:t>
      </w:r>
    </w:p>
    <w:p>
      <w:pPr>
        <w:pStyle w:val="TextBody"/>
        <w:bidi w:val="0"/>
        <w:spacing w:before="0" w:after="0"/>
        <w:jc w:val="left"/>
        <w:rPr>
          <w:rFonts w:ascii="Times New Roman" w:hAnsi="Times New Roman"/>
          <w:sz w:val="20"/>
        </w:rPr>
      </w:pPr>
      <w:r>
        <w:rPr>
          <w:rFonts w:ascii="Times New Roman" w:hAnsi="Times New Roman"/>
          <w:sz w:val="20"/>
        </w:rPr>
        <w:t xml:space="preserve">Andrés Borrego y Marrón </w:t>
      </w:r>
    </w:p>
    <w:p>
      <w:pPr>
        <w:pStyle w:val="TextBody"/>
        <w:bidi w:val="0"/>
        <w:spacing w:before="0" w:after="0"/>
        <w:jc w:val="left"/>
        <w:rPr>
          <w:rFonts w:ascii="Times New Roman" w:hAnsi="Times New Roman"/>
          <w:sz w:val="20"/>
        </w:rPr>
      </w:pPr>
      <w:r>
        <w:rPr>
          <w:rFonts w:ascii="Times New Roman" w:hAnsi="Times New Roman"/>
          <w:sz w:val="20"/>
        </w:rPr>
        <w:t xml:space="preserve">Peter W. Carter </w:t>
      </w:r>
    </w:p>
    <w:p>
      <w:pPr>
        <w:pStyle w:val="TextBody"/>
        <w:bidi w:val="0"/>
        <w:spacing w:before="0" w:after="0"/>
        <w:jc w:val="left"/>
        <w:rPr>
          <w:rFonts w:ascii="Times New Roman" w:hAnsi="Times New Roman"/>
          <w:sz w:val="20"/>
        </w:rPr>
      </w:pPr>
      <w:r>
        <w:rPr>
          <w:rFonts w:ascii="Times New Roman" w:hAnsi="Times New Roman"/>
          <w:sz w:val="20"/>
        </w:rPr>
        <w:t xml:space="preserve">Andrés Conesa Labastida </w:t>
      </w:r>
    </w:p>
    <w:p>
      <w:pPr>
        <w:pStyle w:val="TextBody"/>
        <w:bidi w:val="0"/>
        <w:spacing w:before="0" w:after="0"/>
        <w:jc w:val="left"/>
        <w:rPr>
          <w:rFonts w:ascii="Times New Roman" w:hAnsi="Times New Roman"/>
          <w:sz w:val="20"/>
        </w:rPr>
      </w:pPr>
      <w:r>
        <w:rPr>
          <w:rFonts w:ascii="Times New Roman" w:hAnsi="Times New Roman"/>
          <w:sz w:val="20"/>
        </w:rPr>
        <w:t xml:space="preserve">Antonio Cosío Pando </w:t>
      </w:r>
    </w:p>
    <w:p>
      <w:pPr>
        <w:pStyle w:val="TextBody"/>
        <w:bidi w:val="0"/>
        <w:spacing w:before="0" w:after="0"/>
        <w:jc w:val="left"/>
        <w:rPr>
          <w:rFonts w:ascii="Times New Roman" w:hAnsi="Times New Roman"/>
          <w:sz w:val="20"/>
        </w:rPr>
      </w:pPr>
      <w:r>
        <w:rPr>
          <w:rFonts w:ascii="Times New Roman" w:hAnsi="Times New Roman"/>
          <w:sz w:val="20"/>
        </w:rPr>
        <w:t xml:space="preserve">Luis Fernando Gerardo de la Calle Pardo </w:t>
      </w:r>
    </w:p>
    <w:p>
      <w:pPr>
        <w:pStyle w:val="TextBody"/>
        <w:bidi w:val="0"/>
        <w:spacing w:before="0" w:after="0"/>
        <w:jc w:val="left"/>
        <w:rPr>
          <w:rFonts w:ascii="Times New Roman" w:hAnsi="Times New Roman"/>
          <w:sz w:val="20"/>
        </w:rPr>
      </w:pPr>
      <w:r>
        <w:rPr>
          <w:rFonts w:ascii="Times New Roman" w:hAnsi="Times New Roman"/>
          <w:sz w:val="20"/>
        </w:rPr>
        <w:t xml:space="preserve">Myriam Guadalupe de la Vega Arizpe </w:t>
      </w:r>
    </w:p>
    <w:p>
      <w:pPr>
        <w:pStyle w:val="TextBody"/>
        <w:bidi w:val="0"/>
        <w:spacing w:before="0" w:after="0"/>
        <w:jc w:val="left"/>
        <w:rPr>
          <w:rFonts w:ascii="Times New Roman" w:hAnsi="Times New Roman"/>
          <w:sz w:val="20"/>
        </w:rPr>
      </w:pPr>
      <w:r>
        <w:rPr>
          <w:rFonts w:ascii="Times New Roman" w:hAnsi="Times New Roman"/>
          <w:sz w:val="20"/>
        </w:rPr>
        <w:t xml:space="preserve">Valentín Diez Morodo </w:t>
      </w:r>
    </w:p>
    <w:p>
      <w:pPr>
        <w:pStyle w:val="TextBody"/>
        <w:bidi w:val="0"/>
        <w:spacing w:before="0" w:after="0"/>
        <w:jc w:val="left"/>
        <w:rPr>
          <w:rFonts w:ascii="Times New Roman" w:hAnsi="Times New Roman"/>
          <w:sz w:val="20"/>
        </w:rPr>
      </w:pPr>
      <w:r>
        <w:rPr>
          <w:rFonts w:ascii="Times New Roman" w:hAnsi="Times New Roman"/>
          <w:sz w:val="20"/>
        </w:rPr>
        <w:t xml:space="preserve">Jorge Esteve Recolons </w:t>
      </w:r>
    </w:p>
    <w:p>
      <w:pPr>
        <w:pStyle w:val="TextBody"/>
        <w:bidi w:val="0"/>
        <w:spacing w:before="0" w:after="0"/>
        <w:jc w:val="left"/>
        <w:rPr>
          <w:rFonts w:ascii="Times New Roman" w:hAnsi="Times New Roman"/>
          <w:sz w:val="20"/>
        </w:rPr>
      </w:pPr>
      <w:r>
        <w:rPr>
          <w:rFonts w:ascii="Times New Roman" w:hAnsi="Times New Roman"/>
          <w:sz w:val="20"/>
        </w:rPr>
        <w:t xml:space="preserve">Bogdan Ignashchenko </w:t>
      </w:r>
    </w:p>
    <w:p>
      <w:pPr>
        <w:pStyle w:val="TextBody"/>
        <w:bidi w:val="0"/>
        <w:spacing w:before="0" w:after="0"/>
        <w:jc w:val="left"/>
        <w:rPr>
          <w:rFonts w:ascii="Times New Roman" w:hAnsi="Times New Roman"/>
          <w:sz w:val="20"/>
        </w:rPr>
      </w:pPr>
      <w:r>
        <w:rPr>
          <w:rFonts w:ascii="Times New Roman" w:hAnsi="Times New Roman"/>
          <w:sz w:val="20"/>
        </w:rPr>
        <w:t xml:space="preserve">Donald Lee Moak </w:t>
      </w:r>
    </w:p>
    <w:p>
      <w:pPr>
        <w:pStyle w:val="TextBody"/>
        <w:bidi w:val="0"/>
        <w:spacing w:before="0" w:after="0"/>
        <w:jc w:val="left"/>
        <w:rPr>
          <w:rFonts w:ascii="Times New Roman" w:hAnsi="Times New Roman"/>
          <w:sz w:val="20"/>
        </w:rPr>
      </w:pPr>
      <w:r>
        <w:rPr>
          <w:rFonts w:ascii="Times New Roman" w:hAnsi="Times New Roman"/>
          <w:sz w:val="20"/>
        </w:rPr>
        <w:t xml:space="preserve">Antoine George Munfakh </w:t>
      </w:r>
    </w:p>
    <w:p>
      <w:pPr>
        <w:pStyle w:val="TextBody"/>
        <w:bidi w:val="0"/>
        <w:spacing w:before="0" w:after="0"/>
        <w:jc w:val="left"/>
        <w:rPr>
          <w:rFonts w:ascii="Times New Roman" w:hAnsi="Times New Roman"/>
          <w:sz w:val="20"/>
        </w:rPr>
      </w:pPr>
      <w:r>
        <w:rPr>
          <w:rFonts w:ascii="Times New Roman" w:hAnsi="Times New Roman"/>
          <w:sz w:val="20"/>
        </w:rPr>
        <w:t xml:space="preserve">Eduardo Tricio Haro </w:t>
      </w:r>
    </w:p>
    <w:p>
      <w:pPr>
        <w:pStyle w:val="TextBody"/>
        <w:bidi w:val="0"/>
        <w:spacing w:before="0" w:after="0"/>
        <w:jc w:val="left"/>
        <w:rPr>
          <w:rFonts w:ascii="Times New Roman" w:hAnsi="Times New Roman"/>
          <w:sz w:val="20"/>
        </w:rPr>
      </w:pPr>
      <w:r>
        <w:rPr>
          <w:rFonts w:ascii="Times New Roman" w:hAnsi="Times New Roman"/>
          <w:sz w:val="20"/>
        </w:rPr>
        <w:t xml:space="preserve">Jorge Andrés Vilches Martínez </w:t>
      </w:r>
    </w:p>
    <w:p>
      <w:pPr>
        <w:pStyle w:val="TextBody"/>
        <w:bidi w:val="0"/>
        <w:spacing w:before="0" w:after="0"/>
        <w:jc w:val="left"/>
        <w:rPr>
          <w:rFonts w:ascii="Times New Roman" w:hAnsi="Times New Roman"/>
          <w:sz w:val="20"/>
        </w:rPr>
      </w:pPr>
      <w:r>
        <w:rPr>
          <w:rFonts w:ascii="Times New Roman" w:hAnsi="Times New Roman"/>
          <w:sz w:val="20"/>
        </w:rPr>
        <w:t xml:space="preserve">Michael J. Wartell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was recorded that Donald Lee Moak, Jorge Andrés Vilches Martínez, Michael J. Wartell, Luis de la Calle Pardo, Francisco Javier de Arrigunaga Gómez del Campo, and Myriam Guadalupe de la Vega Arizpe qualify as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Francisco Javier de Arrigunaga Gómez del Campo was ratified as chairman of the Board of Directors. Ernesto Gómez Pombo was ratified as non-member secretary of the Company’s Board of Directors, and Daniel Martínez Martínez was ratified as non-member assistant secretary of such corporate body.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Andrés Conesa Labastida was ratified as Chief Executive Officer of the Company, Ricardo Javier Sánchez Baker was ratified as Chief Financial Officer and Executive Vice President of the Company, and the appointment and ratification of the members of the Company’s Committees were approved, which were composed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Executive Committee</w:t>
            </w:r>
            <w:r>
              <w:rPr>
                <w:rFonts w:ascii="Times New Roman" w:hAnsi="Times New Roman"/>
                <w:sz w:val="20"/>
              </w:rPr>
              <w:t xml:space="preserve">: Eduardo Tricio Haro (chair), Peter W. Carter, Antoine George Munfakh, Francisco Javier de Arrigunaga Gómez del Campo, Andrés Conesa Labastida and Michael J. Wartell.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Audit and Corporate Governance Committee</w:t>
            </w:r>
            <w:r>
              <w:rPr>
                <w:rFonts w:ascii="Times New Roman" w:hAnsi="Times New Roman"/>
                <w:sz w:val="20"/>
              </w:rPr>
              <w:t xml:space="preserve">: Luis de la Calle Pardo (chair), Donald Lee Moak, Jorge Andrés Vilches Martínez and Myriam Guadalupe de la Vega Arizpe.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Safety</w:t>
            </w:r>
            <w:r>
              <w:rPr>
                <w:rFonts w:ascii="Times New Roman" w:hAnsi="Times New Roman"/>
                <w:sz w:val="20"/>
                <w:u w:val="single"/>
              </w:rPr>
              <w:t> </w:t>
            </w:r>
            <w:r>
              <w:rPr>
                <w:rFonts w:ascii="Times New Roman" w:hAnsi="Times New Roman"/>
                <w:i/>
                <w:sz w:val="20"/>
                <w:u w:val="single"/>
              </w:rPr>
              <w:t>&amp; Security Committee</w:t>
            </w:r>
            <w:r>
              <w:rPr>
                <w:rFonts w:ascii="Times New Roman" w:hAnsi="Times New Roman"/>
                <w:sz w:val="20"/>
              </w:rPr>
              <w:t xml:space="preserve">: Donald Lee Moak (chair), Jorge Andrés Vilches Martínez, Jorge Esteve Recolons, Francisco Javier de Arrigunaga Gómez del Campo and Andrés Conesa Labastida.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Nominations and Compensation Committee</w:t>
            </w:r>
            <w:r>
              <w:rPr>
                <w:rFonts w:ascii="Times New Roman" w:hAnsi="Times New Roman"/>
                <w:sz w:val="20"/>
              </w:rPr>
              <w:t xml:space="preserve">: Antonio Cosío Pando (chair), Peter W. Carter, Antoine George Munfakh, Francisco Javier de Arrigunaga Gómez del Campo, Michael J. Wartell and Myriam Guadalupe de la Vega Arizpe.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compensation was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Fees for non-independent members</w:t>
            </w:r>
            <w:r>
              <w:rPr>
                <w:rFonts w:ascii="Times New Roman" w:hAnsi="Times New Roman"/>
                <w:sz w:val="20"/>
              </w:rPr>
              <w:t xml:space="preserve">, except for Peter W. Carter, Antoine George Munfakh, Bogdan Ignashchenko, Andrés Borrego y Marrón and Andrés Conesa Labastida, who expressly waived their right to receive such fees: compensation in an amount equivalent to one “Centenario” gold coin for each regular meeting of the Board of Directors and each regular meeting of any supporting committee of which they are members and which they attend, as directors’ fees, delegating to the Nominations and Compensation Committee the authority to determine the terms and conditions regarding the payment of any amount required to be withheld as income tax;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Annual compensation for independent members</w:t>
            </w:r>
            <w:r>
              <w:rPr>
                <w:rFonts w:ascii="Times New Roman" w:hAnsi="Times New Roman"/>
                <w:sz w:val="20"/>
              </w:rPr>
              <w:t xml:space="preserve">: (i) an annual amount of US$100,000.00 (one hundred thousand United States dollars), in cash, payable in four equal installments of US$25,000.00 (twenty-five thousand United States dollars) each, such amounts to be paid at the beginning of each quarter of the relevant fiscal year; and (ii) an annual amount of US$100,000.00 (one hundred thousand United States dollars), but in its equivalent in shares representing the Company’s capital stock, based on their book value or, if applicable, the per-share value determined by the Nominations and Compensation Committee, such annual amount to be payable in shares during the month of February of each fiscal year; provided that the Nominations and Compensation Committee is delegated the authority to determine the terms and conditions regarding the payment of such annual compensation and any amount required to be withheld as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was approved and ratified that the Nominations and Compensation Committee shall determine the compensation of the chairman of the Board of Directors, as well as that of the chairs and members of the Company’s Committees; and the payment of any other fees, expenses and other compensation that may be required or deemed advisable for the chairs and members of the Board of Directors and the Company’s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Ernesto Gómez Pombo, Daniel Martínez Martínez, Cristina Toledo Guerrero, Alejandro Sainz Orantes, Santiago Alessio Robles Seguí, Bárbara Macías Ávila and Diego Aracen Irabien were appointed as special delegates of the Meeting to formalize the resolutions adopted therein.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the promotion of passenger loyalty programs. Aeroméxico, Mexico’s global airline, has its main hub at Terminal 2 of Mexico City International Airport. Its route network extends to Mexico, the United States, Canada, Central America, South America, Asia and Europe. The Group’s current operating fleet includes Boeing 787 and 737 aircraft, as well as Embraer 190 aircraft. Aeroméxico is a founding member of SkyTeam, an alliance celebrating 25 years and offering connectivity in more than 145 countries through its 18 member airlines. </w:t>
      </w:r>
    </w:p>
    <w:p>
      <w:pPr>
        <w:pStyle w:val="TextBody"/>
        <w:bidi w:val="0"/>
        <w:spacing w:before="240" w:after="0"/>
        <w:jc w:val="center"/>
        <w:rPr>
          <w:rFonts w:ascii="Times New Roman" w:hAnsi="Times New Roman"/>
          <w:sz w:val="20"/>
        </w:rPr>
      </w:pPr>
      <w:r>
        <w:rPr>
          <w:rFonts w:ascii="Times New Roman" w:hAnsi="Times New Roman"/>
          <w:sz w:val="20"/>
          <w:u w:val="single"/>
        </w:rPr>
        <w:t>www.aeromexico.com</w:t>
      </w:r>
      <w:r>
        <w:rPr>
          <w:rFonts w:ascii="Times New Roman" w:hAnsi="Times New Roman"/>
          <w:sz w:val="20"/>
        </w:rPr>
        <w:t>  </w:t>
      </w:r>
      <w:r>
        <w:rPr>
          <w:rFonts w:ascii="Times New Roman" w:hAnsi="Times New Roman"/>
          <w:sz w:val="20"/>
          <w:u w:val="single"/>
        </w:rPr>
        <w:t>www.skyteam.com</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 End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1466</Words>
  <Characters>8102</Characters>
  <CharactersWithSpaces>9621</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