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476d6k.htm"/>
      <w:bookmarkStart w:id="1" w:name="ksd89476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February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240" w:after="0"/>
        <w:jc w:val="center"/>
        <w:rPr>
          <w:rFonts w:ascii="Times New Roman" w:hAnsi="Times New Roman"/>
          <w:b/>
          <w:sz w:val="48"/>
        </w:rPr>
      </w:pPr>
      <w:r>
        <w:rPr>
          <w:rFonts w:ascii="Times New Roman" w:hAnsi="Times New Roman"/>
          <w:b/>
          <w:sz w:val="48"/>
        </w:rPr>
        <w:t xml:space="preserve">Aeromexico Group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Renacimiento,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w:t>
      </w:r>
    </w:p>
    <w:p>
      <w:pPr>
        <w:pStyle w:val="TextBody"/>
        <w:bidi w:val="0"/>
        <w:spacing w:before="0" w:after="0"/>
        <w:jc w:val="center"/>
        <w:rPr>
          <w:rFonts w:ascii="Times New Roman" w:hAnsi="Times New Roman"/>
          <w:b/>
          <w:sz w:val="20"/>
        </w:rPr>
      </w:pPr>
      <w:r>
        <w:rPr>
          <w:rFonts w:ascii="Times New Roman" w:hAnsi="Times New Roman"/>
          <w:b/>
          <w:sz w:val="20"/>
        </w:rPr>
        <w:t xml:space="preserve">United Mexican States </w:t>
      </w:r>
    </w:p>
    <w:p>
      <w:pPr>
        <w:pStyle w:val="TextBody"/>
        <w:bidi w:val="0"/>
        <w:spacing w:before="0" w:after="0"/>
        <w:jc w:val="center"/>
        <w:rPr>
          <w:rFonts w:ascii="Times New Roman" w:hAnsi="Times New Roman"/>
          <w:b/>
          <w:sz w:val="20"/>
        </w:rPr>
      </w:pPr>
      <w:r>
        <w:rPr>
          <w:rFonts w:ascii="Times New Roman" w:hAnsi="Times New Roman"/>
          <w:b/>
          <w:sz w:val="20"/>
        </w:rPr>
        <w:t xml:space="preserve">+52 (55) 9132 4000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February 16, 2026, Grupo Aeroméxico, S.A.B. de C.V. (the “Company”) issued a press release titled “Aeroméxico Reports Unaudited Fourth Quarter &amp; Full Year 2025 Results.” This press release includes the Company’s November 2025, December 2025 and January 2026 traffic reports. A copy of this press release is furnished with this Form 6-K as Exhibit 99.1.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
        <w:gridCol w:w="426"/>
        <w:gridCol w:w="9234"/>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234"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r>
          </w:p>
        </w:tc>
        <w:tc>
          <w:tcPr>
            <w:tcW w:w="426" w:type="dxa"/>
            <w:tcBorders/>
            <w:vAlign w:val="bottom"/>
          </w:tcPr>
          <w:p>
            <w:pPr>
              <w:pStyle w:val="TableContents"/>
              <w:bidi w:val="0"/>
              <w:spacing w:before="0" w:after="283"/>
              <w:jc w:val="left"/>
              <w:rPr/>
            </w:pPr>
            <w:r>
              <w:rPr/>
              <w:t>  </w:t>
            </w:r>
          </w:p>
        </w:tc>
        <w:tc>
          <w:tcPr>
            <w:tcW w:w="923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99.1</w:t>
            </w:r>
          </w:p>
        </w:tc>
        <w:tc>
          <w:tcPr>
            <w:tcW w:w="426"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89476dex991.htm">
              <w:r>
                <w:rPr>
                  <w:rStyle w:val="InternetLink"/>
                </w:rPr>
                <w:t xml:space="preserve">Press Release dated February 16, 2026, titled “Aeroméxico Reports Unaudited Fourth Quarter &amp; Full Year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1"/>
        <w:gridCol w:w="109"/>
        <w:gridCol w:w="394"/>
        <w:gridCol w:w="109"/>
        <w:gridCol w:w="616"/>
        <w:gridCol w:w="109"/>
        <w:gridCol w:w="4467"/>
      </w:tblGrid>
      <w:tr>
        <w:trPr/>
        <w:tc>
          <w:tcPr>
            <w:tcW w:w="44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7" w:type="dxa"/>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92" w:type="dxa"/>
            <w:gridSpan w:val="3"/>
            <w:tcBorders/>
          </w:tcPr>
          <w:p>
            <w:pPr>
              <w:pStyle w:val="TableContents"/>
              <w:bidi w:val="0"/>
              <w:spacing w:before="0" w:after="283"/>
              <w:jc w:val="left"/>
              <w:rPr>
                <w:b/>
              </w:rPr>
            </w:pPr>
            <w:r>
              <w:rPr>
                <w:b/>
              </w:rPr>
              <w:t xml:space="preserve">Grupo Aeroméxico, S.A.B. de C.V. </w:t>
            </w:r>
          </w:p>
        </w:tc>
      </w:tr>
      <w:tr>
        <w:trPr>
          <w:trHeight w:val="240" w:hRule="atLeast"/>
        </w:trPr>
        <w:tc>
          <w:tcPr>
            <w:tcW w:w="4401" w:type="dxa"/>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pPr>
            <w:r>
              <w:rPr/>
              <w:t>Date: February 17, 2026</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89476dex991.htm"/>
      <w:bookmarkStart w:id="3" w:name="ksd8947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352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52800" cy="619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2"/>
        <w:gridCol w:w="124"/>
        <w:gridCol w:w="2828"/>
        <w:gridCol w:w="124"/>
        <w:gridCol w:w="5937"/>
      </w:tblGrid>
      <w:tr>
        <w:trPr/>
        <w:tc>
          <w:tcPr>
            <w:tcW w:w="119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937" w:type="dxa"/>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CONTACT:</w:t>
            </w:r>
          </w:p>
        </w:tc>
        <w:tc>
          <w:tcPr>
            <w:tcW w:w="124" w:type="dxa"/>
            <w:tcBorders/>
            <w:vAlign w:val="bottom"/>
          </w:tcPr>
          <w:p>
            <w:pPr>
              <w:pStyle w:val="TableContents"/>
              <w:bidi w:val="0"/>
              <w:spacing w:before="0" w:after="283"/>
              <w:jc w:val="left"/>
              <w:rPr/>
            </w:pPr>
            <w:r>
              <w:rPr/>
              <w:t>  </w:t>
            </w:r>
          </w:p>
        </w:tc>
        <w:tc>
          <w:tcPr>
            <w:tcW w:w="2828" w:type="dxa"/>
            <w:tcBorders/>
          </w:tcPr>
          <w:p>
            <w:pPr>
              <w:pStyle w:val="TableContents"/>
              <w:bidi w:val="0"/>
              <w:spacing w:before="0" w:after="283"/>
              <w:jc w:val="left"/>
              <w:rPr/>
            </w:pPr>
            <w:r>
              <w:rPr/>
              <w:t>Investor Relations</w:t>
            </w:r>
          </w:p>
        </w:tc>
        <w:tc>
          <w:tcPr>
            <w:tcW w:w="124" w:type="dxa"/>
            <w:tcBorders/>
            <w:vAlign w:val="bottom"/>
          </w:tcPr>
          <w:p>
            <w:pPr>
              <w:pStyle w:val="TableContents"/>
              <w:bidi w:val="0"/>
              <w:spacing w:before="0" w:after="283"/>
              <w:jc w:val="left"/>
              <w:rPr/>
            </w:pPr>
            <w:r>
              <w:rPr/>
              <w:t>  </w:t>
            </w:r>
          </w:p>
        </w:tc>
        <w:tc>
          <w:tcPr>
            <w:tcW w:w="5937" w:type="dxa"/>
            <w:tcBorders/>
          </w:tcPr>
          <w:p>
            <w:pPr>
              <w:pStyle w:val="TableContents"/>
              <w:bidi w:val="0"/>
              <w:spacing w:before="0" w:after="283"/>
              <w:jc w:val="left"/>
              <w:rPr>
                <w:u w:val="single"/>
              </w:rPr>
            </w:pPr>
            <w:r>
              <w:rPr>
                <w:u w:val="single"/>
              </w:rPr>
              <w:t>aminvestorrelations@aeromexico.com</w:t>
            </w:r>
          </w:p>
        </w:tc>
      </w:tr>
      <w:tr>
        <w:trPr/>
        <w:tc>
          <w:tcPr>
            <w:tcW w:w="119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828" w:type="dxa"/>
            <w:tcBorders/>
          </w:tcPr>
          <w:p>
            <w:pPr>
              <w:pStyle w:val="TableContents"/>
              <w:bidi w:val="0"/>
              <w:spacing w:before="0" w:after="283"/>
              <w:jc w:val="left"/>
              <w:rPr/>
            </w:pPr>
            <w:r>
              <w:rPr/>
              <w:t>Corporate Communications  </w:t>
            </w:r>
          </w:p>
        </w:tc>
        <w:tc>
          <w:tcPr>
            <w:tcW w:w="124" w:type="dxa"/>
            <w:tcBorders/>
            <w:vAlign w:val="bottom"/>
          </w:tcPr>
          <w:p>
            <w:pPr>
              <w:pStyle w:val="TableContents"/>
              <w:bidi w:val="0"/>
              <w:spacing w:before="0" w:after="283"/>
              <w:jc w:val="left"/>
              <w:rPr/>
            </w:pPr>
            <w:r>
              <w:rPr/>
              <w:t>  </w:t>
            </w:r>
          </w:p>
        </w:tc>
        <w:tc>
          <w:tcPr>
            <w:tcW w:w="5937" w:type="dxa"/>
            <w:tcBorders/>
          </w:tcPr>
          <w:p>
            <w:pPr>
              <w:pStyle w:val="TableContents"/>
              <w:bidi w:val="0"/>
              <w:spacing w:before="0" w:after="283"/>
              <w:jc w:val="left"/>
              <w:rPr>
                <w:u w:val="single"/>
              </w:rPr>
            </w:pPr>
            <w:r>
              <w:rPr>
                <w:u w:val="single"/>
              </w:rPr>
              <w:t>amcomunicacioncorporativa@aeromexico.com</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Aeroméxico Reports Unaudited Fourth Quarter &amp; Full Year 2025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Total Revenue of $1.4 billion in 4Q25 and $5.4 billion in FY25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Margin of 35% in 4Q25 and 31% in FY25, highest on record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i/>
              </w:rPr>
            </w:pPr>
            <w:r>
              <w:rPr>
                <w:i/>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Operating Margin of 21% in 4Q25 and 17% in FY25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i/>
              </w:rPr>
            </w:pPr>
            <w:r>
              <w:rPr>
                <w:i/>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Premium revenue at 42% in 4Q25 and FY25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Grupo Aeroméxico S.A.B. de C.V. (NYSE: AERO &amp; BMV: AERO, “Aeroméxico” or the “Company”) today reported unaudited consolidated financial results for the three months ended December 31, 2025 (“4Q25”) and twelve months ended December 31, 2025 (“FY25”) and as of December 31, 2025. The unaudited consolidated financial results set forth below are subject to revision based upon the completion of our annual financial closing process, and other developments arising between now and the time this financial closing process is finalized. These results are based on information available to us as of the date of this earnings release and are not a comprehensive statement of our financial results for the period presented. The Company has used the U.S. dollar, its functional currency, as the presentation currency for its consolidated financial statements. All figures are expressed in millions of U.S. dollars unless otherwise indicated. </w:t>
      </w:r>
    </w:p>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w:t>
      </w:r>
      <w:r>
        <w:rPr>
          <w:rFonts w:ascii="Times New Roman" w:hAnsi="Times New Roman"/>
          <w:sz w:val="20"/>
        </w:rPr>
        <w:t xml:space="preserve"> stated: “Aeroméxico closed the year with strong momentum firmly confirming the recovery trend that gained pace in the second half of the year. We once again demonstrated industry-leading operational reliability, being recognized by CIRIUM as the world’s most on-time airline for the second consecutive year. Our commitment to service excellence was also reaffirmed as Aeroméxico was awarded the APEX North America’s Best Global Airline recognition. We delivered industry-leading financial performance, and this quarter achieved record results, including the highest Adjusted EBITDAR in the Company’s history. These achievements reflect disciplined execution across the business and the unwavering commitment, professionalism, and teamwork of our people, who continue to drive Aeroméxico’s performance and leadership”.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&amp; FINANCIAL HIGHLIGHTS FOURTH QUARTER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w:t>
            </w:r>
            <w:r>
              <w:rPr>
                <w:rFonts w:ascii="Times New Roman" w:hAnsi="Times New Roman"/>
                <w:b/>
                <w:sz w:val="20"/>
              </w:rPr>
              <w:t xml:space="preserve">capacity, </w:t>
            </w:r>
            <w:r>
              <w:rPr>
                <w:rFonts w:ascii="Times New Roman" w:hAnsi="Times New Roman"/>
                <w:sz w:val="20"/>
              </w:rPr>
              <w:t xml:space="preserve">measured in available seat miles (ASMs), decreased by 1.8% year-over-year in 4Q25.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4Q25 </w:t>
            </w:r>
            <w:r>
              <w:rPr>
                <w:rFonts w:ascii="Times New Roman" w:hAnsi="Times New Roman"/>
                <w:b/>
                <w:sz w:val="20"/>
              </w:rPr>
              <w:t>total revenue</w:t>
            </w:r>
            <w:r>
              <w:rPr>
                <w:rFonts w:ascii="Times New Roman" w:hAnsi="Times New Roman"/>
                <w:sz w:val="20"/>
              </w:rPr>
              <w:t xml:space="preserve"> reached $1.4 billion, a 0.2% increase as compared to the same period of 2024. When excluding 2024 extraordinary, non-recurrent items(1), total revenue grew 3.4% year-over-year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Share of gain on equity accounted investees</w:t>
            </w:r>
            <w:r>
              <w:rPr>
                <w:rFonts w:ascii="Times New Roman" w:hAnsi="Times New Roman"/>
                <w:sz w:val="20"/>
              </w:rPr>
              <w:t xml:space="preserve"> recorded a benefit of $71.1 million derived from the extraordinary income generated from the sale of the Group’s 50% equity interest in MRO (TechOps transaction), a joint venture owned in equal parts by Aeroméxico and Delta, dedicated to providing aircraft maintenance and repair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EBITDAR(3)</w:t>
            </w:r>
            <w:r>
              <w:rPr>
                <w:rFonts w:ascii="Times New Roman" w:hAnsi="Times New Roman"/>
                <w:sz w:val="20"/>
              </w:rPr>
              <w:t xml:space="preserve"> totaled $501.6 million, with a 34.9% margin, representing the highest EBITDAR and EBITDAR margin on record in the Company’s history. Excluding the TechOps transaction and non-capitalized administrative expenses related to our Initial Public Offering (IPO)(2), Adjusted EBITDAR(3) amounted to $434.9 million with a 30.2%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2025 </w:t>
            </w:r>
            <w:r>
              <w:rPr>
                <w:rFonts w:ascii="Times New Roman" w:hAnsi="Times New Roman"/>
                <w:b/>
                <w:sz w:val="20"/>
              </w:rPr>
              <w:t>Operating Income</w:t>
            </w:r>
            <w:r>
              <w:rPr>
                <w:rFonts w:ascii="Times New Roman" w:hAnsi="Times New Roman"/>
                <w:sz w:val="20"/>
              </w:rPr>
              <w:t xml:space="preserve"> totaled $303.1 million, with a margin of 21.1%, marking the best operating income performance for a fourth quarter on record. Excluding the TechOps transaction and non-capitalized administrative expenses related to our Initial Public Offering (IPO)(2), Operating Income totaled $236.4 million with a 16.4%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Cost per ASM excluding fuel (CASM-Ex),</w:t>
            </w:r>
            <w:r>
              <w:rPr>
                <w:rFonts w:ascii="Times New Roman" w:hAnsi="Times New Roman"/>
                <w:sz w:val="20"/>
              </w:rPr>
              <w:t xml:space="preserve"> was 10.4¢, marking a 5.9% increase with respect to the same quarter of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OPERATING &amp; FINANCIAL HIGHLIGHTS FULL YEAR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w:t>
            </w:r>
            <w:r>
              <w:rPr>
                <w:rFonts w:ascii="Times New Roman" w:hAnsi="Times New Roman"/>
                <w:b/>
                <w:sz w:val="20"/>
              </w:rPr>
              <w:t>capacity</w:t>
            </w:r>
            <w:r>
              <w:rPr>
                <w:rFonts w:ascii="Times New Roman" w:hAnsi="Times New Roman"/>
                <w:sz w:val="20"/>
              </w:rPr>
              <w:t xml:space="preserve">, measured in available seat miles (ASMs), increased by 0.5%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FY25 </w:t>
            </w:r>
            <w:r>
              <w:rPr>
                <w:rFonts w:ascii="Times New Roman" w:hAnsi="Times New Roman"/>
                <w:b/>
                <w:sz w:val="20"/>
              </w:rPr>
              <w:t>total revenue</w:t>
            </w:r>
            <w:r>
              <w:rPr>
                <w:rFonts w:ascii="Times New Roman" w:hAnsi="Times New Roman"/>
                <w:sz w:val="20"/>
              </w:rPr>
              <w:t xml:space="preserve"> reached $5.4 billion, a 4.6% decrease as compared to 2024. When excluding 2024 extraordinary, non-recurrent items(1), total revenue decreased 1.9%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EBITDAR(3)</w:t>
            </w:r>
            <w:r>
              <w:rPr>
                <w:rFonts w:ascii="Times New Roman" w:hAnsi="Times New Roman"/>
                <w:sz w:val="20"/>
              </w:rPr>
              <w:t xml:space="preserve"> totaled $1.7 billion, with a 31.2% margin. This margin represents the highest record in the Company’s history. Excluding the TechOps transaction and IPO-related expenses(2), Adjusted EBITDAR(3) amounted to $1.6 billion with a 30.0%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2025 </w:t>
            </w:r>
            <w:r>
              <w:rPr>
                <w:rFonts w:ascii="Times New Roman" w:hAnsi="Times New Roman"/>
                <w:b/>
                <w:sz w:val="20"/>
              </w:rPr>
              <w:t>Operating Income</w:t>
            </w:r>
            <w:r>
              <w:rPr>
                <w:rFonts w:ascii="Times New Roman" w:hAnsi="Times New Roman"/>
                <w:sz w:val="20"/>
              </w:rPr>
              <w:t xml:space="preserve"> totaled $928.1 million, with a margin of 17.3%, marking the second-best yearly operating income performance record. Excluding the TechOps transaction and the IPO-related expenses (2), Operating Income totaled $861.4 million with a 16.1%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Cost per ASM excluding fuel (CASM-Ex),</w:t>
            </w:r>
            <w:r>
              <w:rPr>
                <w:rFonts w:ascii="Times New Roman" w:hAnsi="Times New Roman"/>
                <w:sz w:val="20"/>
              </w:rPr>
              <w:t xml:space="preserve"> was 9.3¢, a 1.7% increase compared to last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b/>
                <w:sz w:val="20"/>
              </w:rPr>
              <w:t>adjusted net debt to EBITDAR(3)</w:t>
            </w:r>
            <w:r>
              <w:rPr>
                <w:rFonts w:ascii="Times New Roman" w:hAnsi="Times New Roman"/>
                <w:sz w:val="20"/>
              </w:rPr>
              <w:t xml:space="preserve"> ended the year at 1.8x.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1Q26 &amp; FULL YEAR 2026 OUTLOOK </w:t>
      </w:r>
    </w:p>
    <w:p>
      <w:pPr>
        <w:pStyle w:val="TextBody"/>
        <w:bidi w:val="0"/>
        <w:spacing w:before="0" w:after="0"/>
        <w:jc w:val="left"/>
        <w:rPr/>
      </w:pPr>
      <w:r>
        <w:rPr/>
        <w:t> </w:t>
      </w:r>
    </w:p>
    <w:tbl>
      <w:tblPr>
        <w:tblW w:w="3000" w:type="pct"/>
        <w:jc w:val="center"/>
        <w:tblInd w:w="0" w:type="dxa"/>
        <w:tblLayout w:type="fixed"/>
        <w:tblCellMar>
          <w:top w:w="0" w:type="dxa"/>
          <w:left w:w="0" w:type="dxa"/>
          <w:bottom w:w="0" w:type="dxa"/>
          <w:right w:w="0" w:type="dxa"/>
        </w:tblCellMar>
      </w:tblPr>
      <w:tblGrid>
        <w:gridCol w:w="2194"/>
        <w:gridCol w:w="120"/>
        <w:gridCol w:w="1863"/>
        <w:gridCol w:w="120"/>
        <w:gridCol w:w="1826"/>
      </w:tblGrid>
      <w:tr>
        <w:trPr/>
        <w:tc>
          <w:tcPr>
            <w:tcW w:w="21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21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Indicator</w:t>
            </w:r>
          </w:p>
        </w:tc>
        <w:tc>
          <w:tcPr>
            <w:tcW w:w="120" w:type="dxa"/>
            <w:tcBorders/>
            <w:vAlign w:val="bottom"/>
          </w:tcPr>
          <w:p>
            <w:pPr>
              <w:pStyle w:val="TableContents"/>
              <w:bidi w:val="0"/>
              <w:spacing w:before="0" w:after="283"/>
              <w:jc w:val="left"/>
              <w:rPr/>
            </w:pPr>
            <w:r>
              <w:rPr/>
              <w:t>  </w:t>
            </w:r>
          </w:p>
        </w:tc>
        <w:tc>
          <w:tcPr>
            <w:tcW w:w="18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1Q26 Guidance</w:t>
            </w:r>
          </w:p>
        </w:tc>
        <w:tc>
          <w:tcPr>
            <w:tcW w:w="120" w:type="dxa"/>
            <w:tcBorders/>
            <w:vAlign w:val="bottom"/>
          </w:tcPr>
          <w:p>
            <w:pPr>
              <w:pStyle w:val="TableContents"/>
              <w:bidi w:val="0"/>
              <w:spacing w:before="0" w:after="283"/>
              <w:jc w:val="left"/>
              <w:rPr/>
            </w:pPr>
            <w:r>
              <w:rPr/>
              <w:t>  </w:t>
            </w:r>
          </w:p>
        </w:tc>
        <w:tc>
          <w:tcPr>
            <w:tcW w:w="18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FY2026 Guidance</w:t>
            </w:r>
          </w:p>
        </w:tc>
      </w:tr>
      <w:tr>
        <w:trPr/>
        <w:tc>
          <w:tcPr>
            <w:tcW w:w="2194" w:type="dxa"/>
            <w:tcBorders/>
            <w:shd w:fill="CCEEFF" w:val="clear"/>
          </w:tcPr>
          <w:p>
            <w:pPr>
              <w:pStyle w:val="TableContents"/>
              <w:bidi w:val="0"/>
              <w:spacing w:before="0" w:after="283"/>
              <w:jc w:val="left"/>
              <w:rPr>
                <w:b/>
              </w:rPr>
            </w:pPr>
            <w:r>
              <w:rPr>
                <w:b/>
              </w:rPr>
              <w:t>Total Capacity (ASMs)</w:t>
            </w:r>
          </w:p>
        </w:tc>
        <w:tc>
          <w:tcPr>
            <w:tcW w:w="120" w:type="dxa"/>
            <w:tcBorders/>
            <w:shd w:fill="CCEEFF" w:val="clear"/>
            <w:vAlign w:val="bottom"/>
          </w:tcPr>
          <w:p>
            <w:pPr>
              <w:pStyle w:val="TableContents"/>
              <w:bidi w:val="0"/>
              <w:spacing w:before="0" w:after="283"/>
              <w:jc w:val="left"/>
              <w:rPr/>
            </w:pPr>
            <w:r>
              <w:rPr/>
              <w:t>  </w:t>
            </w:r>
          </w:p>
        </w:tc>
        <w:tc>
          <w:tcPr>
            <w:tcW w:w="1863" w:type="dxa"/>
            <w:tcBorders/>
            <w:shd w:fill="CCEEFF" w:val="clear"/>
          </w:tcPr>
          <w:p>
            <w:pPr>
              <w:pStyle w:val="TableContents"/>
              <w:bidi w:val="0"/>
              <w:spacing w:before="0" w:after="283"/>
              <w:jc w:val="center"/>
              <w:rPr/>
            </w:pPr>
            <w:r>
              <w:rPr/>
              <w:t>~ -1.7% to -1.2%</w:t>
            </w:r>
          </w:p>
        </w:tc>
        <w:tc>
          <w:tcPr>
            <w:tcW w:w="120" w:type="dxa"/>
            <w:tcBorders/>
            <w:shd w:fill="CCEEFF" w:val="clear"/>
            <w:vAlign w:val="bottom"/>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center"/>
              <w:rPr/>
            </w:pPr>
            <w:r>
              <w:rPr/>
              <w:t>~ 3.0% to 5.0%</w:t>
            </w:r>
          </w:p>
        </w:tc>
      </w:tr>
      <w:tr>
        <w:trPr/>
        <w:tc>
          <w:tcPr>
            <w:tcW w:w="2194" w:type="dxa"/>
            <w:tcBorders/>
          </w:tcPr>
          <w:p>
            <w:pPr>
              <w:pStyle w:val="TableContents"/>
              <w:bidi w:val="0"/>
              <w:spacing w:before="0" w:after="283"/>
              <w:jc w:val="left"/>
              <w:rPr>
                <w:b/>
              </w:rPr>
            </w:pPr>
            <w:r>
              <w:rPr>
                <w:b/>
              </w:rPr>
              <w:t>Total Revenue</w:t>
            </w:r>
          </w:p>
        </w:tc>
        <w:tc>
          <w:tcPr>
            <w:tcW w:w="120" w:type="dxa"/>
            <w:tcBorders/>
            <w:vAlign w:val="bottom"/>
          </w:tcPr>
          <w:p>
            <w:pPr>
              <w:pStyle w:val="TableContents"/>
              <w:bidi w:val="0"/>
              <w:spacing w:before="0" w:after="283"/>
              <w:jc w:val="left"/>
              <w:rPr/>
            </w:pPr>
            <w:r>
              <w:rPr/>
              <w:t>  </w:t>
            </w:r>
          </w:p>
        </w:tc>
        <w:tc>
          <w:tcPr>
            <w:tcW w:w="1863" w:type="dxa"/>
            <w:tcBorders/>
          </w:tcPr>
          <w:p>
            <w:pPr>
              <w:pStyle w:val="TableContents"/>
              <w:bidi w:val="0"/>
              <w:spacing w:before="0" w:after="283"/>
              <w:jc w:val="center"/>
              <w:rPr/>
            </w:pPr>
            <w:r>
              <w:rPr/>
              <w:t>~ 1.30 bn to 1.33 bn</w:t>
            </w:r>
          </w:p>
        </w:tc>
        <w:tc>
          <w:tcPr>
            <w:tcW w:w="120"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center"/>
              <w:rPr/>
            </w:pPr>
            <w:r>
              <w:rPr/>
              <w:t>~ 5.77 bn to 5.88 bn</w:t>
            </w:r>
          </w:p>
        </w:tc>
      </w:tr>
      <w:tr>
        <w:trPr/>
        <w:tc>
          <w:tcPr>
            <w:tcW w:w="2194" w:type="dxa"/>
            <w:tcBorders/>
            <w:shd w:fill="CCEEFF" w:val="clear"/>
          </w:tcPr>
          <w:p>
            <w:pPr>
              <w:pStyle w:val="TableContents"/>
              <w:bidi w:val="0"/>
              <w:spacing w:before="0" w:after="283"/>
              <w:jc w:val="left"/>
              <w:rPr>
                <w:b/>
              </w:rPr>
            </w:pPr>
            <w:r>
              <w:rPr>
                <w:b/>
              </w:rPr>
              <w:t>Total Revenue YoY</w:t>
            </w:r>
          </w:p>
        </w:tc>
        <w:tc>
          <w:tcPr>
            <w:tcW w:w="120" w:type="dxa"/>
            <w:tcBorders/>
            <w:shd w:fill="CCEEFF" w:val="clear"/>
            <w:vAlign w:val="bottom"/>
          </w:tcPr>
          <w:p>
            <w:pPr>
              <w:pStyle w:val="TableContents"/>
              <w:bidi w:val="0"/>
              <w:spacing w:before="0" w:after="283"/>
              <w:jc w:val="left"/>
              <w:rPr/>
            </w:pPr>
            <w:r>
              <w:rPr/>
              <w:t>  </w:t>
            </w:r>
          </w:p>
        </w:tc>
        <w:tc>
          <w:tcPr>
            <w:tcW w:w="1863" w:type="dxa"/>
            <w:tcBorders/>
            <w:shd w:fill="CCEEFF" w:val="clear"/>
          </w:tcPr>
          <w:p>
            <w:pPr>
              <w:pStyle w:val="TableContents"/>
              <w:bidi w:val="0"/>
              <w:spacing w:before="0" w:after="283"/>
              <w:jc w:val="center"/>
              <w:rPr/>
            </w:pPr>
            <w:r>
              <w:rPr/>
              <w:t>~ 10.0% to 12.0%</w:t>
            </w:r>
          </w:p>
        </w:tc>
        <w:tc>
          <w:tcPr>
            <w:tcW w:w="120" w:type="dxa"/>
            <w:tcBorders/>
            <w:shd w:fill="CCEEFF" w:val="clear"/>
            <w:vAlign w:val="bottom"/>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center"/>
              <w:rPr/>
            </w:pPr>
            <w:r>
              <w:rPr/>
              <w:t>~ 7.5% to 9.5%</w:t>
            </w:r>
          </w:p>
        </w:tc>
      </w:tr>
      <w:tr>
        <w:trPr/>
        <w:tc>
          <w:tcPr>
            <w:tcW w:w="2194" w:type="dxa"/>
            <w:tcBorders/>
          </w:tcPr>
          <w:p>
            <w:pPr>
              <w:pStyle w:val="TableContents"/>
              <w:bidi w:val="0"/>
              <w:spacing w:before="0" w:after="283"/>
              <w:jc w:val="left"/>
              <w:rPr>
                <w:b/>
              </w:rPr>
            </w:pPr>
            <w:r>
              <w:rPr>
                <w:b/>
              </w:rPr>
              <w:t>Adjusted EBITDAR Margin</w:t>
            </w:r>
          </w:p>
        </w:tc>
        <w:tc>
          <w:tcPr>
            <w:tcW w:w="120" w:type="dxa"/>
            <w:tcBorders/>
            <w:vAlign w:val="bottom"/>
          </w:tcPr>
          <w:p>
            <w:pPr>
              <w:pStyle w:val="TableContents"/>
              <w:bidi w:val="0"/>
              <w:spacing w:before="0" w:after="283"/>
              <w:jc w:val="left"/>
              <w:rPr/>
            </w:pPr>
            <w:r>
              <w:rPr/>
              <w:t>  </w:t>
            </w:r>
          </w:p>
        </w:tc>
        <w:tc>
          <w:tcPr>
            <w:tcW w:w="1863" w:type="dxa"/>
            <w:tcBorders/>
          </w:tcPr>
          <w:p>
            <w:pPr>
              <w:pStyle w:val="TableContents"/>
              <w:bidi w:val="0"/>
              <w:spacing w:before="0" w:after="283"/>
              <w:jc w:val="center"/>
              <w:rPr/>
            </w:pPr>
            <w:r>
              <w:rPr/>
              <w:t>~ 26.0% to 28.0%</w:t>
            </w:r>
          </w:p>
        </w:tc>
        <w:tc>
          <w:tcPr>
            <w:tcW w:w="120"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center"/>
              <w:rPr/>
            </w:pPr>
            <w:r>
              <w:rPr/>
              <w:t>~ 28.5% to 30.5%</w:t>
            </w:r>
          </w:p>
        </w:tc>
      </w:tr>
      <w:tr>
        <w:trPr/>
        <w:tc>
          <w:tcPr>
            <w:tcW w:w="2194" w:type="dxa"/>
            <w:tcBorders/>
            <w:shd w:fill="CCEEFF" w:val="clear"/>
          </w:tcPr>
          <w:p>
            <w:pPr>
              <w:pStyle w:val="TableContents"/>
              <w:bidi w:val="0"/>
              <w:spacing w:before="0" w:after="283"/>
              <w:jc w:val="left"/>
              <w:rPr>
                <w:b/>
              </w:rPr>
            </w:pPr>
            <w:r>
              <w:rPr>
                <w:b/>
              </w:rPr>
              <w:t>Operating Income Margin</w:t>
            </w:r>
          </w:p>
        </w:tc>
        <w:tc>
          <w:tcPr>
            <w:tcW w:w="120" w:type="dxa"/>
            <w:tcBorders/>
            <w:shd w:fill="CCEEFF" w:val="clear"/>
            <w:vAlign w:val="bottom"/>
          </w:tcPr>
          <w:p>
            <w:pPr>
              <w:pStyle w:val="TableContents"/>
              <w:bidi w:val="0"/>
              <w:spacing w:before="0" w:after="283"/>
              <w:jc w:val="left"/>
              <w:rPr/>
            </w:pPr>
            <w:r>
              <w:rPr/>
              <w:t>  </w:t>
            </w:r>
          </w:p>
        </w:tc>
        <w:tc>
          <w:tcPr>
            <w:tcW w:w="1863" w:type="dxa"/>
            <w:tcBorders/>
            <w:shd w:fill="CCEEFF" w:val="clear"/>
          </w:tcPr>
          <w:p>
            <w:pPr>
              <w:pStyle w:val="TableContents"/>
              <w:bidi w:val="0"/>
              <w:spacing w:before="0" w:after="283"/>
              <w:jc w:val="center"/>
              <w:rPr/>
            </w:pPr>
            <w:r>
              <w:rPr/>
              <w:t>~ 11.0% to 13.0%</w:t>
            </w:r>
          </w:p>
        </w:tc>
        <w:tc>
          <w:tcPr>
            <w:tcW w:w="120" w:type="dxa"/>
            <w:tcBorders/>
            <w:shd w:fill="CCEEFF" w:val="clear"/>
            <w:vAlign w:val="bottom"/>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center"/>
              <w:rPr/>
            </w:pPr>
            <w:r>
              <w:rPr/>
              <w:t>~ 15.0% to 17.0%</w:t>
            </w:r>
          </w:p>
        </w:tc>
      </w:tr>
      <w:tr>
        <w:trPr/>
        <w:tc>
          <w:tcPr>
            <w:tcW w:w="2194" w:type="dxa"/>
            <w:tcBorders/>
          </w:tcPr>
          <w:p>
            <w:pPr>
              <w:pStyle w:val="TableContents"/>
              <w:bidi w:val="0"/>
              <w:spacing w:before="0" w:after="283"/>
              <w:jc w:val="left"/>
              <w:rPr>
                <w:b/>
              </w:rPr>
            </w:pPr>
            <w:r>
              <w:rPr>
                <w:b/>
              </w:rPr>
              <w:t>Adjusted Net Leverage</w:t>
            </w:r>
          </w:p>
        </w:tc>
        <w:tc>
          <w:tcPr>
            <w:tcW w:w="120" w:type="dxa"/>
            <w:tcBorders/>
            <w:vAlign w:val="bottom"/>
          </w:tcPr>
          <w:p>
            <w:pPr>
              <w:pStyle w:val="TableContents"/>
              <w:bidi w:val="0"/>
              <w:spacing w:before="0" w:after="283"/>
              <w:jc w:val="left"/>
              <w:rPr/>
            </w:pPr>
            <w:r>
              <w:rPr/>
              <w:t>  </w:t>
            </w:r>
          </w:p>
        </w:tc>
        <w:tc>
          <w:tcPr>
            <w:tcW w:w="1863"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center"/>
              <w:rPr/>
            </w:pPr>
            <w:r>
              <w:rPr/>
              <w:t>~ 1.6x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KEY FINANCIAL AND OPERATING HIGHLIGHTS FOR THE FOURTH QUARTER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1"/>
        <w:gridCol w:w="151"/>
        <w:gridCol w:w="60"/>
        <w:gridCol w:w="682"/>
        <w:gridCol w:w="275"/>
        <w:gridCol w:w="93"/>
        <w:gridCol w:w="155"/>
        <w:gridCol w:w="1456"/>
        <w:gridCol w:w="275"/>
        <w:gridCol w:w="93"/>
        <w:gridCol w:w="60"/>
        <w:gridCol w:w="682"/>
        <w:gridCol w:w="275"/>
        <w:gridCol w:w="93"/>
        <w:gridCol w:w="155"/>
        <w:gridCol w:w="1456"/>
        <w:gridCol w:w="275"/>
        <w:gridCol w:w="93"/>
        <w:gridCol w:w="76"/>
        <w:gridCol w:w="969"/>
        <w:gridCol w:w="280"/>
      </w:tblGrid>
      <w:tr>
        <w:trPr/>
        <w:tc>
          <w:tcPr>
            <w:tcW w:w="255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1"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Financial KPIs</w:t>
            </w:r>
          </w:p>
        </w:tc>
        <w:tc>
          <w:tcPr>
            <w:tcW w:w="151" w:type="dxa"/>
            <w:tcBorders/>
            <w:vAlign w:val="bottom"/>
          </w:tcPr>
          <w:p>
            <w:pPr>
              <w:pStyle w:val="TableContents"/>
              <w:bidi w:val="0"/>
              <w:spacing w:before="0" w:after="283"/>
              <w:jc w:val="left"/>
              <w:rPr/>
            </w:pPr>
            <w:r>
              <w:rPr/>
              <w:t>  </w:t>
            </w:r>
          </w:p>
        </w:tc>
        <w:tc>
          <w:tcPr>
            <w:tcW w:w="722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w:t>
            </w:r>
          </w:p>
        </w:tc>
        <w:tc>
          <w:tcPr>
            <w:tcW w:w="280" w:type="dxa"/>
            <w:tcBorders/>
            <w:vAlign w:val="bottom"/>
          </w:tcPr>
          <w:p>
            <w:pPr>
              <w:pStyle w:val="TableContents"/>
              <w:bidi w:val="0"/>
              <w:spacing w:before="0" w:after="283"/>
              <w:jc w:val="left"/>
              <w:rPr/>
            </w:pPr>
            <w:r>
              <w:rPr/>
              <w:t> </w:t>
            </w:r>
          </w:p>
        </w:tc>
      </w:tr>
      <w:tr>
        <w:trPr/>
        <w:tc>
          <w:tcPr>
            <w:tcW w:w="2551" w:type="dxa"/>
            <w:vMerge w:val="continue"/>
            <w:tcBorders/>
            <w:vAlign w:val="bottom"/>
          </w:tcPr>
          <w:p>
            <w:pPr>
              <w:pStyle w:val="Normal"/>
              <w:bidi w:val="0"/>
              <w:jc w:val="left"/>
              <w:rPr/>
            </w:pPr>
            <w:r>
              <w:rPr/>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b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4Q24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 (5)</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(USD millions)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1,438</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1,438</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1,435</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1,391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3.4</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EBITDAR(3) (USD millions)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502</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435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446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402</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8.3</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margin(3) (% of Revenue)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1.4 p.p.</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income (loss) (USD millions)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303</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236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257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212</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11.6</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1.2 p.p.</w:t>
            </w:r>
          </w:p>
        </w:tc>
        <w:tc>
          <w:tcPr>
            <w:tcW w:w="280" w:type="dxa"/>
            <w:tcBorders/>
            <w:shd w:fill="CCEEFF" w:val="clear"/>
            <w:vAlign w:val="bottom"/>
          </w:tcPr>
          <w:p>
            <w:pPr>
              <w:pStyle w:val="TableContents"/>
              <w:bidi w:val="0"/>
              <w:spacing w:before="0" w:after="283"/>
              <w:jc w:val="left"/>
              <w:rPr/>
            </w:pPr>
            <w:r>
              <w:rPr/>
              <w:t> </w:t>
            </w:r>
          </w:p>
        </w:tc>
      </w:tr>
      <w:tr>
        <w:trPr>
          <w:trHeight w:val="240" w:hRule="atLeast"/>
        </w:trPr>
        <w:tc>
          <w:tcPr>
            <w:tcW w:w="2551" w:type="dxa"/>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Operating Indicators</w:t>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b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4Q24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 (5)</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8,751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8,911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6,168</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6,247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16.4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16.4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16.1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5.3</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13.6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13.6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13.0</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4.9</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10.4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10.4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5.4</w:t>
            </w:r>
          </w:p>
        </w:tc>
        <w:tc>
          <w:tcPr>
            <w:tcW w:w="280" w:type="dxa"/>
            <w:tcBorders/>
            <w:shd w:fill="CCEEFF" w:val="clear"/>
            <w:vAlign w:val="bottom"/>
          </w:tcPr>
          <w:p>
            <w:pPr>
              <w:pStyle w:val="TableContents"/>
              <w:bidi w:val="0"/>
              <w:spacing w:before="0" w:after="283"/>
              <w:jc w:val="left"/>
              <w:rPr/>
            </w:pPr>
            <w:r>
              <w:rPr/>
              <w:t>% </w:t>
            </w:r>
          </w:p>
        </w:tc>
      </w:tr>
      <w:tr>
        <w:trPr>
          <w:trHeight w:val="240" w:hRule="atLeast"/>
        </w:trPr>
        <w:tc>
          <w:tcPr>
            <w:tcW w:w="2551" w:type="dxa"/>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Foreign Exchange*</w:t>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b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4Q24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18.33</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20.03</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-8.5</w:t>
            </w:r>
          </w:p>
        </w:tc>
        <w:tc>
          <w:tcPr>
            <w:tcW w:w="280" w:type="dxa"/>
            <w:tcBorders/>
            <w:shd w:fill="CCEEFF" w:val="clear"/>
            <w:vAlign w:val="bottom"/>
          </w:tcPr>
          <w:p>
            <w:pPr>
              <w:pStyle w:val="TableContents"/>
              <w:bidi w:val="0"/>
              <w:spacing w:before="0" w:after="283"/>
              <w:jc w:val="left"/>
              <w:rPr/>
            </w:pPr>
            <w:r>
              <w:rPr/>
              <w:t>% </w:t>
            </w:r>
          </w:p>
        </w:tc>
      </w:tr>
      <w:tr>
        <w:trPr>
          <w:trHeight w:val="240" w:hRule="atLeast"/>
        </w:trPr>
        <w:tc>
          <w:tcPr>
            <w:tcW w:w="2551" w:type="dxa"/>
            <w:tcBorders/>
            <w:vAlign w:val="center"/>
          </w:tcPr>
          <w:p>
            <w:pPr>
              <w:pStyle w:val="TableContents"/>
              <w:bidi w:val="0"/>
              <w:spacing w:before="0" w:after="283"/>
              <w:jc w:val="left"/>
              <w:rPr>
                <w:sz w:val="4"/>
                <w:szCs w:val="4"/>
              </w:rPr>
            </w:pPr>
            <w:r>
              <w:rPr>
                <w:sz w:val="4"/>
                <w:szCs w:val="4"/>
              </w:rPr>
            </w:r>
          </w:p>
        </w:tc>
        <w:tc>
          <w:tcPr>
            <w:tcW w:w="7654" w:type="dxa"/>
            <w:gridSpan w:val="20"/>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22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Twelve Months Ended December 31</w:t>
            </w:r>
          </w:p>
        </w:tc>
        <w:tc>
          <w:tcPr>
            <w:tcW w:w="280"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Financial KPIs</w:t>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2025</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2024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 (5)</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(USD millions)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5,361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5,361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5,620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5,467</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-1.9</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EBITDAR(3) (USD millions)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1,672</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1,606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1,738</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1,578</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1.8</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margin(3) (% of Revenue)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1.1 p.p.</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income (loss) (USD millions)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928</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861</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1,067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901</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-4.4</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-0.4 p.p.</w:t>
            </w:r>
          </w:p>
        </w:tc>
        <w:tc>
          <w:tcPr>
            <w:tcW w:w="280" w:type="dxa"/>
            <w:tcBorders/>
            <w:shd w:fill="CCEEFF" w:val="clear"/>
            <w:vAlign w:val="bottom"/>
          </w:tcPr>
          <w:p>
            <w:pPr>
              <w:pStyle w:val="TableContents"/>
              <w:bidi w:val="0"/>
              <w:spacing w:before="0" w:after="283"/>
              <w:jc w:val="left"/>
              <w:rPr/>
            </w:pPr>
            <w:r>
              <w:rPr/>
              <w:t> </w:t>
            </w:r>
          </w:p>
        </w:tc>
      </w:tr>
      <w:tr>
        <w:trPr>
          <w:trHeight w:val="240" w:hRule="atLeast"/>
        </w:trPr>
        <w:tc>
          <w:tcPr>
            <w:tcW w:w="2551" w:type="dxa"/>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Key Operating Indicators</w:t>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2025</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2024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 (5)</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35,804</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35,642</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24,587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25,338</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15.8</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15.3</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12.7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12.7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9.2</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9.2</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1.5</w:t>
            </w:r>
          </w:p>
        </w:tc>
        <w:tc>
          <w:tcPr>
            <w:tcW w:w="280" w:type="dxa"/>
            <w:tcBorders/>
            <w:shd w:fill="CCEEFF" w:val="clear"/>
            <w:vAlign w:val="bottom"/>
          </w:tcPr>
          <w:p>
            <w:pPr>
              <w:pStyle w:val="TableContents"/>
              <w:bidi w:val="0"/>
              <w:spacing w:before="0" w:after="283"/>
              <w:jc w:val="left"/>
              <w:rPr/>
            </w:pPr>
            <w:r>
              <w:rPr/>
              <w:t>% </w:t>
            </w:r>
          </w:p>
        </w:tc>
      </w:tr>
      <w:tr>
        <w:trPr>
          <w:trHeight w:val="240" w:hRule="atLeast"/>
        </w:trPr>
        <w:tc>
          <w:tcPr>
            <w:tcW w:w="2551" w:type="dxa"/>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1418" w:type="dxa"/>
            <w:gridSpan w:val="4"/>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Foreign Exchange*</w:t>
            </w:r>
          </w:p>
        </w:tc>
        <w:tc>
          <w:tcPr>
            <w:tcW w:w="151"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pPr>
            <w:r>
              <w:rPr>
                <w:b/>
              </w:rPr>
              <w:t>2024</w:t>
            </w:r>
            <w:r>
              <w:rPr/>
              <w:br/>
            </w:r>
            <w:r>
              <w:rPr>
                <w:b/>
              </w:rPr>
              <w:t>(Normalized) (4)</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280"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19.26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18.27</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5.5</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Source: Company with information from Banxico.</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INCOME STATEMENT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4Q 2025 Revenue </w:t>
      </w:r>
    </w:p>
    <w:p>
      <w:pPr>
        <w:pStyle w:val="TextBody"/>
        <w:bidi w:val="0"/>
        <w:spacing w:before="12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for the fourth quarter of 2025 was $1.4 billion, representing a 0.2% year-over-year increase. When excluding 2024 extraordinary, non-recurrent items(1), total revenue grew 3.4% year-over-year. The recovery trend in demand that accelerated during the second half of 2025 fully materialized during the quarter, supported by strong load factors and sustained operational discipline. 2024 extraordinary, non-recurring items included one-time benefits from compensation received from Boeing related to the 737 MAX grounding, as well as estimated revenue from expired tickets following the extension of ticket validity policies implemented under prior commercial flexibility initiatives. </w:t>
      </w:r>
    </w:p>
    <w:p>
      <w:pPr>
        <w:pStyle w:val="TextBody"/>
        <w:bidi w:val="0"/>
        <w:spacing w:before="240" w:after="0"/>
        <w:jc w:val="left"/>
        <w:rPr>
          <w:rFonts w:ascii="Times New Roman" w:hAnsi="Times New Roman"/>
          <w:sz w:val="20"/>
        </w:rPr>
      </w:pPr>
      <w:r>
        <w:rPr>
          <w:rFonts w:ascii="Times New Roman" w:hAnsi="Times New Roman"/>
          <w:b/>
          <w:sz w:val="20"/>
        </w:rPr>
        <w:t>Total revenue per Available Seat Mile (“TRASM”)</w:t>
      </w:r>
      <w:r>
        <w:rPr>
          <w:rFonts w:ascii="Times New Roman" w:hAnsi="Times New Roman"/>
          <w:sz w:val="20"/>
        </w:rPr>
        <w:t xml:space="preserve"> was 16.4¢, representing a 2.0% increase compared to 4Q24. Excluding 2024 extraordinary, non-recurrent items(1), TRASM increased by 5.3% year-over-year, reflecting enhanced performance across various demand segments and the appreciation of the Mexican peso. The positive trajectory in TRASM also reflects the improvement in our </w:t>
      </w:r>
      <w:r>
        <w:rPr>
          <w:rFonts w:ascii="Times New Roman" w:hAnsi="Times New Roman"/>
          <w:b/>
          <w:sz w:val="20"/>
        </w:rPr>
        <w:t>premium revenue(6)</w:t>
      </w:r>
      <w:r>
        <w:rPr>
          <w:rFonts w:ascii="Times New Roman" w:hAnsi="Times New Roman"/>
          <w:sz w:val="20"/>
        </w:rPr>
        <w:t xml:space="preserve"> </w:t>
      </w:r>
      <w:r>
        <w:rPr>
          <w:rFonts w:ascii="Times New Roman" w:hAnsi="Times New Roman"/>
          <w:b/>
          <w:sz w:val="20"/>
        </w:rPr>
        <w:t>mix</w:t>
      </w:r>
      <w:r>
        <w:rPr>
          <w:rFonts w:ascii="Times New Roman" w:hAnsi="Times New Roman"/>
          <w:sz w:val="20"/>
        </w:rPr>
        <w:t xml:space="preserve">, which reached 41.9% of passenger-related revenue compared to 40.4% in 4Q24.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2025 Revenue </w:t>
      </w:r>
    </w:p>
    <w:p>
      <w:pPr>
        <w:pStyle w:val="TextBody"/>
        <w:bidi w:val="0"/>
        <w:spacing w:before="12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for the full year 2025 was $5.4 billion, representing a 4.6% year-over-year decrease. The decline primarily reflects the observed 2025 first half softer passenger demand in certain U.S. and Mexican border markets; the depreciation of the Mexican peso, and 2024 extraordinary, non-recurring items(1). Excluding 2024 extraordinary, non-recurrent items(1), total revenue decreased by 1.9% year-over-year. The impact of economic and political uncertainty on domestic border routes and the Mexico–U.S. transborder Visiting Friends and Relatives (VFR) segment during the first half of the year were partially offset by a recovery trend in certain U.S. and Mexican markets that began in the third quarter and materialized during the fourth quarter. </w:t>
      </w:r>
    </w:p>
    <w:p>
      <w:pPr>
        <w:pStyle w:val="TextBody"/>
        <w:bidi w:val="0"/>
        <w:spacing w:before="240" w:after="0"/>
        <w:jc w:val="left"/>
        <w:rPr>
          <w:rFonts w:ascii="Times New Roman" w:hAnsi="Times New Roman"/>
          <w:sz w:val="20"/>
        </w:rPr>
      </w:pPr>
      <w:r>
        <w:rPr>
          <w:rFonts w:ascii="Times New Roman" w:hAnsi="Times New Roman"/>
          <w:b/>
          <w:sz w:val="20"/>
        </w:rPr>
        <w:t>TRASM</w:t>
      </w:r>
      <w:r>
        <w:rPr>
          <w:rFonts w:ascii="Times New Roman" w:hAnsi="Times New Roman"/>
          <w:sz w:val="20"/>
        </w:rPr>
        <w:t xml:space="preserve"> was 15.0¢, representing a 5.0% decrease compared to 2024. Excluding 2024 extraordinary, non-recurrent items(1), RASM decreased by 2.4% year-over-year.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2"/>
        <w:gridCol w:w="147"/>
        <w:gridCol w:w="60"/>
        <w:gridCol w:w="583"/>
        <w:gridCol w:w="60"/>
        <w:gridCol w:w="147"/>
        <w:gridCol w:w="60"/>
        <w:gridCol w:w="583"/>
        <w:gridCol w:w="60"/>
        <w:gridCol w:w="147"/>
        <w:gridCol w:w="81"/>
        <w:gridCol w:w="712"/>
        <w:gridCol w:w="395"/>
        <w:gridCol w:w="93"/>
        <w:gridCol w:w="60"/>
        <w:gridCol w:w="583"/>
        <w:gridCol w:w="59"/>
        <w:gridCol w:w="147"/>
        <w:gridCol w:w="60"/>
        <w:gridCol w:w="583"/>
        <w:gridCol w:w="60"/>
        <w:gridCol w:w="147"/>
        <w:gridCol w:w="81"/>
        <w:gridCol w:w="712"/>
        <w:gridCol w:w="403"/>
      </w:tblGrid>
      <w:tr>
        <w:trPr/>
        <w:tc>
          <w:tcPr>
            <w:tcW w:w="418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4182"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Passenger Revenue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(USD million)</w:t>
            </w:r>
          </w:p>
        </w:tc>
        <w:tc>
          <w:tcPr>
            <w:tcW w:w="147" w:type="dxa"/>
            <w:tcBorders/>
            <w:vAlign w:val="bottom"/>
          </w:tcPr>
          <w:p>
            <w:pPr>
              <w:pStyle w:val="TableContents"/>
              <w:bidi w:val="0"/>
              <w:spacing w:before="0" w:after="283"/>
              <w:jc w:val="left"/>
              <w:rPr/>
            </w:pPr>
            <w:r>
              <w:rPr/>
              <w:t>  </w:t>
            </w:r>
          </w:p>
        </w:tc>
        <w:tc>
          <w:tcPr>
            <w:tcW w:w="2493"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3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49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403" w:type="dxa"/>
            <w:tcBorders/>
            <w:vAlign w:val="bottom"/>
          </w:tcPr>
          <w:p>
            <w:pPr>
              <w:pStyle w:val="TableContents"/>
              <w:bidi w:val="0"/>
              <w:spacing w:before="0" w:after="283"/>
              <w:jc w:val="left"/>
              <w:rPr/>
            </w:pPr>
            <w:r>
              <w:rPr/>
              <w:t> </w:t>
            </w:r>
          </w:p>
        </w:tc>
      </w:tr>
      <w:tr>
        <w:trPr/>
        <w:tc>
          <w:tcPr>
            <w:tcW w:w="4182" w:type="dxa"/>
            <w:vMerge w:val="continue"/>
            <w:tcBorders/>
            <w:vAlign w:val="bottom"/>
          </w:tcPr>
          <w:p>
            <w:pPr>
              <w:pStyle w:val="Normal"/>
              <w:bidi w:val="0"/>
              <w:jc w:val="left"/>
              <w:rPr/>
            </w:pPr>
            <w:r>
              <w:rPr/>
            </w:r>
          </w:p>
        </w:tc>
        <w:tc>
          <w:tcPr>
            <w:tcW w:w="147" w:type="dxa"/>
            <w:tcBorders/>
            <w:vAlign w:val="bottom"/>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403"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478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459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4.0</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1,664</w:t>
            </w:r>
          </w:p>
        </w:tc>
        <w:tc>
          <w:tcPr>
            <w:tcW w:w="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1,893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(12.1</w:t>
            </w:r>
          </w:p>
        </w:tc>
        <w:tc>
          <w:tcPr>
            <w:tcW w:w="403" w:type="dxa"/>
            <w:tcBorders/>
            <w:shd w:fill="CCEEFF" w:val="clear"/>
            <w:vAlign w:val="bottom"/>
          </w:tcPr>
          <w:p>
            <w:pPr>
              <w:pStyle w:val="TableContents"/>
              <w:bidi w:val="0"/>
              <w:spacing w:before="0" w:after="283"/>
              <w:jc w:val="left"/>
              <w:rPr/>
            </w:pPr>
            <w:r>
              <w:rPr/>
              <w:t>)% </w:t>
            </w:r>
          </w:p>
        </w:tc>
      </w:tr>
      <w:tr>
        <w:trPr/>
        <w:tc>
          <w:tcPr>
            <w:tcW w:w="418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713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683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4.4</w:t>
            </w:r>
          </w:p>
        </w:tc>
        <w:tc>
          <w:tcPr>
            <w:tcW w:w="3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2,641</w:t>
            </w:r>
          </w:p>
        </w:tc>
        <w:tc>
          <w:tcPr>
            <w:tcW w:w="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2,612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1.1</w:t>
            </w:r>
          </w:p>
        </w:tc>
        <w:tc>
          <w:tcPr>
            <w:tcW w:w="403"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Ancillaries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168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(33.0</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555</w:t>
            </w:r>
          </w:p>
        </w:tc>
        <w:tc>
          <w:tcPr>
            <w:tcW w:w="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646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(14.0</w:t>
            </w:r>
          </w:p>
        </w:tc>
        <w:tc>
          <w:tcPr>
            <w:tcW w:w="403" w:type="dxa"/>
            <w:tcBorders/>
            <w:shd w:fill="CCEEFF" w:val="clear"/>
            <w:vAlign w:val="bottom"/>
          </w:tcPr>
          <w:p>
            <w:pPr>
              <w:pStyle w:val="TableContents"/>
              <w:bidi w:val="0"/>
              <w:spacing w:before="0" w:after="283"/>
              <w:jc w:val="left"/>
              <w:rPr/>
            </w:pPr>
            <w:r>
              <w:rPr/>
              <w:t>)% </w:t>
            </w:r>
          </w:p>
        </w:tc>
      </w:tr>
      <w:tr>
        <w:trPr/>
        <w:tc>
          <w:tcPr>
            <w:tcW w:w="418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r>
      <w:tr>
        <w:trPr/>
        <w:tc>
          <w:tcPr>
            <w:tcW w:w="418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Passenger Revenue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b/>
              </w:rPr>
            </w:pPr>
            <w:r>
              <w:rPr>
                <w:b/>
              </w:rPr>
              <w:t>1,303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b/>
              </w:rPr>
            </w:pPr>
            <w:r>
              <w:rPr>
                <w:b/>
              </w:rPr>
              <w:t>1,310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(0.5</w:t>
            </w:r>
          </w:p>
        </w:tc>
        <w:tc>
          <w:tcPr>
            <w:tcW w:w="39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b/>
              </w:rPr>
            </w:pPr>
            <w:r>
              <w:rPr>
                <w:b/>
              </w:rPr>
              <w:t>4,860</w:t>
            </w:r>
          </w:p>
        </w:tc>
        <w:tc>
          <w:tcPr>
            <w:tcW w:w="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b/>
              </w:rPr>
            </w:pPr>
            <w:r>
              <w:rPr>
                <w:b/>
              </w:rPr>
              <w:t>5,151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(5.6</w:t>
            </w:r>
          </w:p>
        </w:tc>
        <w:tc>
          <w:tcPr>
            <w:tcW w:w="403" w:type="dxa"/>
            <w:tcBorders/>
            <w:vAlign w:val="bottom"/>
          </w:tcPr>
          <w:p>
            <w:pPr>
              <w:pStyle w:val="TableContents"/>
              <w:bidi w:val="0"/>
              <w:spacing w:before="0" w:after="283"/>
              <w:jc w:val="left"/>
              <w:rPr>
                <w:b/>
              </w:rPr>
            </w:pPr>
            <w:r>
              <w:rPr>
                <w:b/>
              </w:rPr>
              <w:t>)% </w:t>
            </w:r>
          </w:p>
        </w:tc>
      </w:tr>
      <w:tr>
        <w:trPr/>
        <w:tc>
          <w:tcPr>
            <w:tcW w:w="418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4Q 2025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In 4Q25, </w:t>
      </w:r>
      <w:r>
        <w:rPr>
          <w:rFonts w:ascii="Times New Roman" w:hAnsi="Times New Roman"/>
          <w:b/>
          <w:sz w:val="20"/>
        </w:rPr>
        <w:t>total operating expenses</w:t>
      </w:r>
      <w:r>
        <w:rPr>
          <w:rFonts w:ascii="Times New Roman" w:hAnsi="Times New Roman"/>
          <w:sz w:val="20"/>
        </w:rPr>
        <w:t xml:space="preserve"> -including fuel, labor, maintenance, passenger and aircraft services, aircraft leases, depreciation and amortization- reached $1.1 billion, reflecting a 3.7% decrease compared to the same period in 2024. Excluding the TechOps transaction and the IPO-related expenses(2), operating expenses were 1.9% higher compared to 4Q24. This increase was primarily driven by the impact of the Mexican peso’s appreciation on peso-denominated expenses, higher expenses on wages, salaries, and benefits following the renegotiation of all Collective Bargaining Agreements (“CBAs”) in 2024, increased depreciation and amortization costs due to fleet expansion, and IPO-related expenses. These cost pressures were partially offset by reduced selling and administrative expenses. </w:t>
      </w:r>
    </w:p>
    <w:p>
      <w:pPr>
        <w:pStyle w:val="TextBody"/>
        <w:bidi w:val="0"/>
        <w:spacing w:before="240" w:after="0"/>
        <w:jc w:val="left"/>
        <w:rPr>
          <w:rFonts w:ascii="Times New Roman" w:hAnsi="Times New Roman"/>
          <w:sz w:val="20"/>
        </w:rPr>
      </w:pPr>
      <w:r>
        <w:rPr>
          <w:rFonts w:ascii="Times New Roman" w:hAnsi="Times New Roman"/>
          <w:b/>
          <w:sz w:val="20"/>
        </w:rPr>
        <w:t>Fuel cost per liter</w:t>
      </w:r>
      <w:r>
        <w:rPr>
          <w:rFonts w:ascii="Times New Roman" w:hAnsi="Times New Roman"/>
          <w:sz w:val="20"/>
        </w:rPr>
        <w:t xml:space="preserve"> increased 4.0% compared to 4Q24, averaging 66¢ per liter in 4Q25 as compared to 63¢ per liter in 4Q24. </w:t>
      </w:r>
      <w:r>
        <w:rPr>
          <w:rFonts w:ascii="Times New Roman" w:hAnsi="Times New Roman"/>
          <w:b/>
          <w:sz w:val="20"/>
        </w:rPr>
        <w:t>Fuel consumption</w:t>
      </w:r>
      <w:r>
        <w:rPr>
          <w:rFonts w:ascii="Times New Roman" w:hAnsi="Times New Roman"/>
          <w:sz w:val="20"/>
        </w:rPr>
        <w:t xml:space="preserve"> decreased by 2.7% year-over-year, while </w:t>
      </w:r>
      <w:r>
        <w:rPr>
          <w:rFonts w:ascii="Times New Roman" w:hAnsi="Times New Roman"/>
          <w:b/>
          <w:sz w:val="20"/>
        </w:rPr>
        <w:t>fuel burn per ASM</w:t>
      </w:r>
      <w:r>
        <w:rPr>
          <w:rFonts w:ascii="Times New Roman" w:hAnsi="Times New Roman"/>
          <w:sz w:val="20"/>
        </w:rPr>
        <w:t xml:space="preserve"> decreased by 0.9%, mainly due to a more efficient fleet mix. </w:t>
      </w:r>
    </w:p>
    <w:p>
      <w:pPr>
        <w:pStyle w:val="TextBody"/>
        <w:bidi w:val="0"/>
        <w:spacing w:before="240" w:after="0"/>
        <w:jc w:val="left"/>
        <w:rPr>
          <w:rFonts w:ascii="Times New Roman" w:hAnsi="Times New Roman"/>
          <w:sz w:val="20"/>
        </w:rPr>
      </w:pPr>
      <w:r>
        <w:rPr>
          <w:rFonts w:ascii="Times New Roman" w:hAnsi="Times New Roman"/>
          <w:b/>
          <w:sz w:val="20"/>
        </w:rPr>
        <w:t>Cost per ASM excluding fuel (CASM-Ex)</w:t>
      </w:r>
      <w:r>
        <w:rPr>
          <w:rFonts w:ascii="Times New Roman" w:hAnsi="Times New Roman"/>
          <w:sz w:val="20"/>
        </w:rPr>
        <w:t xml:space="preserve"> was 10.4¢ in 4Q25, up 5.9% from 4Q24. Excluding extraordinary, non-recurring items(1,2), CASM-Ex increased 5.4% compared to 4Q24. </w:t>
      </w:r>
    </w:p>
    <w:p>
      <w:pPr>
        <w:pStyle w:val="TextBody"/>
        <w:bidi w:val="0"/>
        <w:spacing w:before="240" w:after="0"/>
        <w:jc w:val="left"/>
        <w:rPr>
          <w:rFonts w:ascii="Times New Roman" w:hAnsi="Times New Roman"/>
          <w:sz w:val="20"/>
        </w:rPr>
      </w:pPr>
      <w:r>
        <w:rPr>
          <w:rFonts w:ascii="Times New Roman" w:hAnsi="Times New Roman"/>
          <w:b/>
          <w:sz w:val="20"/>
        </w:rPr>
        <w:t>Share of gain on equity accounted</w:t>
      </w:r>
      <w:r>
        <w:rPr>
          <w:rFonts w:ascii="Times New Roman" w:hAnsi="Times New Roman"/>
          <w:sz w:val="20"/>
        </w:rPr>
        <w:t xml:space="preserve"> increased by $73.4 million in 4Q25 as compared to 4Q24. This increase primarily reflects the $71.1 million of extraordinary income generated from the sale of TechOps.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2025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In 2025, </w:t>
      </w:r>
      <w:r>
        <w:rPr>
          <w:rFonts w:ascii="Times New Roman" w:hAnsi="Times New Roman"/>
          <w:b/>
          <w:sz w:val="20"/>
        </w:rPr>
        <w:t>total operating expenses</w:t>
      </w:r>
      <w:r>
        <w:rPr>
          <w:rFonts w:ascii="Times New Roman" w:hAnsi="Times New Roman"/>
          <w:sz w:val="20"/>
        </w:rPr>
        <w:t xml:space="preserve">—including fuel, labor, maintenance, passenger and aircraft services, aircraft leases, and depreciation and amortization—totaled $4.4 billion, representing a 2.7% decrease compared to 2024. Excluding the TechOps transaction and the IPO-related expenses(2), operating expenses were 1.5% lower compared to 2024. The reduction was primarily driven by lower fuel expenses, ongoing cost-efficiency initiatives, and operational efficiencies associated with the introduction of additional Boeing 737 MAX aircraft. Operating expenses were also favorably impacted by the depreciation of the Mexican peso during the first half of the year, which reduced peso-denominated costs. These benefits were partially offset by higher depreciation and amortization resulting from fleet growth, increased direct operating expenses—particularly wages, salaries, and benefits—following the renegotiation of all CBAs in 2024, IPO-related expenses, and the appreciation of the Mexican peso during the second half of the year, which increased peso-denominated expenses. </w:t>
      </w:r>
    </w:p>
    <w:p>
      <w:pPr>
        <w:pStyle w:val="TextBody"/>
        <w:bidi w:val="0"/>
        <w:spacing w:before="240" w:after="0"/>
        <w:jc w:val="left"/>
        <w:rPr>
          <w:rFonts w:ascii="Times New Roman" w:hAnsi="Times New Roman"/>
          <w:sz w:val="20"/>
        </w:rPr>
      </w:pPr>
      <w:r>
        <w:rPr>
          <w:rFonts w:ascii="Times New Roman" w:hAnsi="Times New Roman"/>
          <w:b/>
          <w:sz w:val="20"/>
        </w:rPr>
        <w:t>Fuel cost per liter</w:t>
      </w:r>
      <w:r>
        <w:rPr>
          <w:rFonts w:ascii="Times New Roman" w:hAnsi="Times New Roman"/>
          <w:sz w:val="20"/>
        </w:rPr>
        <w:t xml:space="preserve"> decreased by 7.6% compared to 2024, averaging 65¢ per liter in 2025 as compared to 71¢ per liter in 2024. </w:t>
      </w:r>
      <w:r>
        <w:rPr>
          <w:rFonts w:ascii="Times New Roman" w:hAnsi="Times New Roman"/>
          <w:b/>
          <w:sz w:val="20"/>
        </w:rPr>
        <w:t>Fuel consumption</w:t>
      </w:r>
      <w:r>
        <w:rPr>
          <w:rFonts w:ascii="Times New Roman" w:hAnsi="Times New Roman"/>
          <w:sz w:val="20"/>
        </w:rPr>
        <w:t xml:space="preserve"> decreased by 0.4% year-over-year, while </w:t>
      </w:r>
      <w:r>
        <w:rPr>
          <w:rFonts w:ascii="Times New Roman" w:hAnsi="Times New Roman"/>
          <w:b/>
          <w:sz w:val="20"/>
        </w:rPr>
        <w:t>fuel burn per ASM</w:t>
      </w:r>
      <w:r>
        <w:rPr>
          <w:rFonts w:ascii="Times New Roman" w:hAnsi="Times New Roman"/>
          <w:sz w:val="20"/>
        </w:rPr>
        <w:t xml:space="preserve"> decreased by 0.9%, mainly due to a more efficient fleet mix. </w:t>
      </w:r>
    </w:p>
    <w:p>
      <w:pPr>
        <w:pStyle w:val="TextBody"/>
        <w:bidi w:val="0"/>
        <w:spacing w:before="240" w:after="0"/>
        <w:jc w:val="left"/>
        <w:rPr>
          <w:rFonts w:ascii="Times New Roman" w:hAnsi="Times New Roman"/>
          <w:sz w:val="20"/>
        </w:rPr>
      </w:pPr>
      <w:r>
        <w:rPr>
          <w:rFonts w:ascii="Times New Roman" w:hAnsi="Times New Roman"/>
          <w:b/>
          <w:sz w:val="20"/>
        </w:rPr>
        <w:t>CASM-Ex</w:t>
      </w:r>
      <w:r>
        <w:rPr>
          <w:rFonts w:ascii="Times New Roman" w:hAnsi="Times New Roman"/>
          <w:sz w:val="20"/>
        </w:rPr>
        <w:t xml:space="preserve"> was 9.3¢ in 2025, up 1.7% from 2024. Excluding extraordinary, non-recurring items(1,2),CASM-Ex increased 1.5% year-over-year. </w:t>
      </w:r>
    </w:p>
    <w:p>
      <w:pPr>
        <w:pStyle w:val="TextBody"/>
        <w:bidi w:val="0"/>
        <w:spacing w:before="360" w:after="0"/>
        <w:jc w:val="left"/>
        <w:rPr>
          <w:rFonts w:ascii="Times New Roman" w:hAnsi="Times New Roman"/>
          <w:b/>
          <w:sz w:val="20"/>
        </w:rPr>
      </w:pPr>
      <w:r>
        <w:rPr>
          <w:rFonts w:ascii="Times New Roman" w:hAnsi="Times New Roman"/>
          <w:b/>
          <w:sz w:val="20"/>
        </w:rPr>
        <w:t xml:space="preserve">4Q 2025 Adjusted EBITDAR(3) and Operating Income </w:t>
      </w:r>
    </w:p>
    <w:p>
      <w:pPr>
        <w:pStyle w:val="TextBody"/>
        <w:bidi w:val="0"/>
        <w:spacing w:before="120" w:after="0"/>
        <w:jc w:val="left"/>
        <w:rPr>
          <w:rFonts w:ascii="Times New Roman" w:hAnsi="Times New Roman"/>
          <w:sz w:val="20"/>
        </w:rPr>
      </w:pPr>
      <w:r>
        <w:rPr>
          <w:rFonts w:ascii="Times New Roman" w:hAnsi="Times New Roman"/>
          <w:b/>
          <w:sz w:val="20"/>
        </w:rPr>
        <w:t>Adjusted EBITDAR</w:t>
      </w:r>
      <w:r>
        <w:rPr>
          <w:rFonts w:ascii="Times New Roman" w:hAnsi="Times New Roman"/>
          <w:sz w:val="20"/>
        </w:rPr>
        <w:t xml:space="preserve">(3) for the fourth quarter amounted to $501.6 million with a 34.9% margin, representing the highest EBITDAR and EBITDAR margin on record in the Company’s history. Excluding 2025 extraordinary, non-recurrent items(2), Adjusted EBITDAR(3) in 4Q25 was $434.9 million. This represents a $33.4 million year-over-year increase compared to the 4Q24 Adjusted EBITDAR(3) (excluding 2024 extraordinary, non-recurrent items(1) of $401.5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Operating income</w:t>
      </w:r>
      <w:r>
        <w:rPr>
          <w:rFonts w:ascii="Times New Roman" w:hAnsi="Times New Roman"/>
          <w:sz w:val="20"/>
        </w:rPr>
        <w:t xml:space="preserve"> for the fourth quarter totaled $303.1 million, with a margin of 21.1%, marking the best operating income performance for a fourth quarter on record. Excluding 2025 extraordinary, non-recurrent items(2), Operating Income in 4Q25 stood at $236.4 million. This compares to Operating Income, excluding 2024 extraordinary, non-recurring items(1), of $211.7 million in 4Q24, reflecting a year-over-year increase of $24.7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2025 Adjusted EBITDAR(3) and Operating Income </w:t>
      </w:r>
    </w:p>
    <w:p>
      <w:pPr>
        <w:pStyle w:val="TextBody"/>
        <w:bidi w:val="0"/>
        <w:spacing w:before="120" w:after="0"/>
        <w:jc w:val="left"/>
        <w:rPr>
          <w:rFonts w:ascii="Times New Roman" w:hAnsi="Times New Roman"/>
          <w:sz w:val="20"/>
        </w:rPr>
      </w:pPr>
      <w:r>
        <w:rPr>
          <w:rFonts w:ascii="Times New Roman" w:hAnsi="Times New Roman"/>
          <w:b/>
          <w:sz w:val="20"/>
        </w:rPr>
        <w:t>Adjusted EBITDAR(3)</w:t>
      </w:r>
      <w:r>
        <w:rPr>
          <w:rFonts w:ascii="Times New Roman" w:hAnsi="Times New Roman"/>
          <w:sz w:val="20"/>
        </w:rPr>
        <w:t xml:space="preserve"> for the full year amounted to $1.7 billion with a 31.2% margin. This represents the highest record in the Company’s history. Excluding 2025 extraordinary, non-recurrent items(2), Adjusted EBITDAR(3) in 2025 totaled $1.61 billion, a $28.0 million year-over-year increase when compared to FY2024 Adjusted EBITDAR(3) (excluding 2024 extraordinary, non-recurrent items(1)) of $1.58 billion. </w:t>
      </w:r>
    </w:p>
    <w:p>
      <w:pPr>
        <w:pStyle w:val="TextBody"/>
        <w:bidi w:val="0"/>
        <w:spacing w:before="240" w:after="0"/>
        <w:jc w:val="left"/>
        <w:rPr>
          <w:rFonts w:ascii="Times New Roman" w:hAnsi="Times New Roman"/>
          <w:sz w:val="20"/>
        </w:rPr>
      </w:pPr>
      <w:r>
        <w:rPr>
          <w:rFonts w:ascii="Times New Roman" w:hAnsi="Times New Roman"/>
          <w:b/>
          <w:sz w:val="20"/>
        </w:rPr>
        <w:t>Operating income</w:t>
      </w:r>
      <w:r>
        <w:rPr>
          <w:rFonts w:ascii="Times New Roman" w:hAnsi="Times New Roman"/>
          <w:sz w:val="20"/>
        </w:rPr>
        <w:t xml:space="preserve"> for the full year totaled $928.1 million, with a margin of 17.3%. This represents the second highest record for the Company. Excluding 2025 extraordinary, non-recurrent items(2), Operating Income in 2025 reached $861.4 million, which compared to a $900.7 million 2024 Operating Income, excluding 2024 extraordinary, non-recurrent items(1), represents a $39.3 million decrease year-over-year. </w:t>
      </w:r>
    </w:p>
    <w:p>
      <w:pPr>
        <w:pStyle w:val="TextBody"/>
        <w:bidi w:val="0"/>
        <w:spacing w:before="360" w:after="0"/>
        <w:jc w:val="left"/>
        <w:rPr>
          <w:rFonts w:ascii="Times New Roman" w:hAnsi="Times New Roman"/>
          <w:b/>
          <w:sz w:val="20"/>
        </w:rPr>
      </w:pPr>
      <w:r>
        <w:rPr>
          <w:rFonts w:ascii="Times New Roman" w:hAnsi="Times New Roman"/>
          <w:b/>
          <w:sz w:val="20"/>
        </w:rPr>
        <w:t xml:space="preserve">4Q 2025 Net Financing Cost </w:t>
      </w:r>
    </w:p>
    <w:p>
      <w:pPr>
        <w:pStyle w:val="TextBody"/>
        <w:bidi w:val="0"/>
        <w:spacing w:before="120" w:after="0"/>
        <w:jc w:val="left"/>
        <w:rPr>
          <w:rFonts w:ascii="Times New Roman" w:hAnsi="Times New Roman"/>
          <w:sz w:val="20"/>
        </w:rPr>
      </w:pPr>
      <w:r>
        <w:rPr>
          <w:rFonts w:ascii="Times New Roman" w:hAnsi="Times New Roman"/>
          <w:b/>
          <w:sz w:val="20"/>
        </w:rPr>
        <w:t>Net financing costs</w:t>
      </w:r>
      <w:r>
        <w:rPr>
          <w:rFonts w:ascii="Times New Roman" w:hAnsi="Times New Roman"/>
          <w:sz w:val="20"/>
        </w:rPr>
        <w:t xml:space="preserve"> decreased by $56.4 million compared to the same period of 2024, driven primarily by net foreign exchange. A $46.0 million loss in 4Q24 was reversed to a $0.6 million net FX gain in 4Q25, accounting for a $46.6 million tailwind. In addition to the net FX gain, lower interest expenses on financial liabilities contributed to the net financing costs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2025 Net Financing Cost </w:t>
      </w:r>
    </w:p>
    <w:p>
      <w:pPr>
        <w:pStyle w:val="TextBody"/>
        <w:bidi w:val="0"/>
        <w:spacing w:before="120" w:after="0"/>
        <w:jc w:val="left"/>
        <w:rPr>
          <w:rFonts w:ascii="Times New Roman" w:hAnsi="Times New Roman"/>
          <w:sz w:val="20"/>
        </w:rPr>
      </w:pPr>
      <w:r>
        <w:rPr>
          <w:rFonts w:ascii="Times New Roman" w:hAnsi="Times New Roman"/>
          <w:b/>
          <w:sz w:val="20"/>
        </w:rPr>
        <w:t>Net financing costs</w:t>
      </w:r>
      <w:r>
        <w:rPr>
          <w:rFonts w:ascii="Times New Roman" w:hAnsi="Times New Roman"/>
          <w:sz w:val="20"/>
        </w:rPr>
        <w:t xml:space="preserve"> increased by $144.6 million compared to 2024, driven primarily by foreign exchange. A $45.8 million FX gain in 2024 was reversed to a $22.4 million loss this quarter, accounting for a $68.2 million headwind. Additional factors contributing to the increase in finance costs over 2024 include the lease interest related to our fleet expansion, higher finance costs associated with the Senior Secured Notes due 2029 and 2031 issued in 2024, and reduced interest income following shareholder cash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4Q 2025 Net Income </w:t>
      </w:r>
    </w:p>
    <w:p>
      <w:pPr>
        <w:pStyle w:val="TextBody"/>
        <w:bidi w:val="0"/>
        <w:spacing w:before="120" w:after="0"/>
        <w:jc w:val="left"/>
        <w:rPr>
          <w:rFonts w:ascii="Times New Roman" w:hAnsi="Times New Roman"/>
          <w:sz w:val="20"/>
        </w:rPr>
      </w:pPr>
      <w:r>
        <w:rPr>
          <w:rFonts w:ascii="Times New Roman" w:hAnsi="Times New Roman"/>
          <w:sz w:val="20"/>
        </w:rPr>
        <w:t xml:space="preserve">Net income in 4Q25 totaled $165.0 million with an 11.5% margin.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2025 Net Income </w:t>
      </w:r>
    </w:p>
    <w:p>
      <w:pPr>
        <w:pStyle w:val="TextBody"/>
        <w:bidi w:val="0"/>
        <w:spacing w:before="120" w:after="0"/>
        <w:jc w:val="left"/>
        <w:rPr>
          <w:rFonts w:ascii="Times New Roman" w:hAnsi="Times New Roman"/>
          <w:sz w:val="20"/>
        </w:rPr>
      </w:pPr>
      <w:r>
        <w:rPr>
          <w:rFonts w:ascii="Times New Roman" w:hAnsi="Times New Roman"/>
          <w:sz w:val="20"/>
        </w:rPr>
        <w:t xml:space="preserve">Net income in 2025 totaled $351.9 million with a 6.6%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BALANCE SHEET AND CASH FLOW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Aeroméxico reported </w:t>
      </w:r>
      <w:r>
        <w:rPr>
          <w:rFonts w:ascii="Times New Roman" w:hAnsi="Times New Roman"/>
          <w:b/>
          <w:sz w:val="20"/>
        </w:rPr>
        <w:t>cash and cash equivalents</w:t>
      </w:r>
      <w:r>
        <w:rPr>
          <w:rFonts w:ascii="Times New Roman" w:hAnsi="Times New Roman"/>
          <w:sz w:val="20"/>
        </w:rPr>
        <w:t xml:space="preserve"> amounting to $1.0 billion. Including the $200.0 million revolving credit facility secured in 3Q24, total liquidity reached $1.2 billion. This represents a liquidity to last twelve-month revenues ratio of 22.8%. </w:t>
      </w:r>
    </w:p>
    <w:p>
      <w:pPr>
        <w:pStyle w:val="TextBody"/>
        <w:bidi w:val="0"/>
        <w:spacing w:before="240" w:after="0"/>
        <w:jc w:val="left"/>
        <w:rPr>
          <w:rFonts w:ascii="Times New Roman" w:hAnsi="Times New Roman"/>
          <w:sz w:val="20"/>
        </w:rPr>
      </w:pPr>
      <w:r>
        <w:rPr>
          <w:rFonts w:ascii="Times New Roman" w:hAnsi="Times New Roman"/>
          <w:sz w:val="20"/>
        </w:rPr>
        <w:t xml:space="preserve">Over 2025, Aeroméxico generated $913.1 million in net cash from operating activities, which allowed the Company to continue with its investment and deleveraging programs. </w:t>
      </w:r>
    </w:p>
    <w:p>
      <w:pPr>
        <w:pStyle w:val="TextBody"/>
        <w:bidi w:val="0"/>
        <w:spacing w:before="240" w:after="0"/>
        <w:jc w:val="left"/>
        <w:rPr>
          <w:rFonts w:ascii="Times New Roman" w:hAnsi="Times New Roman"/>
          <w:sz w:val="20"/>
        </w:rPr>
      </w:pPr>
      <w:r>
        <w:rPr>
          <w:rFonts w:ascii="Times New Roman" w:hAnsi="Times New Roman"/>
          <w:sz w:val="20"/>
        </w:rPr>
        <w:t xml:space="preserve">During the fourth quarter, the Company amortized $63.5 million of financial debt, bringing total debt amortization to $156.2 million for the full year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2025, the Shareholders of the Company approved to carry out a capital reimbursement, without canceling shares, equivalent to an amount of $0.15 per share for a total distribution of $203.9 million. By December 2025, the Company had completed capital reimbursements amounting to $1.3 billion since December 2023. </w:t>
      </w:r>
    </w:p>
    <w:p>
      <w:pPr>
        <w:pStyle w:val="TextBody"/>
        <w:bidi w:val="0"/>
        <w:spacing w:before="360" w:after="0"/>
        <w:jc w:val="left"/>
        <w:rPr>
          <w:rFonts w:ascii="Times New Roman" w:hAnsi="Times New Roman"/>
          <w:b/>
          <w:sz w:val="20"/>
        </w:rPr>
      </w:pPr>
      <w:r>
        <w:rPr>
          <w:rFonts w:ascii="Times New Roman" w:hAnsi="Times New Roman"/>
          <w:b/>
          <w:sz w:val="20"/>
        </w:rPr>
        <w:t xml:space="preserve">FLEET </w:t>
      </w:r>
    </w:p>
    <w:p>
      <w:pPr>
        <w:pStyle w:val="TextBody"/>
        <w:bidi w:val="0"/>
        <w:spacing w:before="120" w:after="0"/>
        <w:jc w:val="left"/>
        <w:rPr>
          <w:rFonts w:ascii="Times New Roman" w:hAnsi="Times New Roman"/>
          <w:sz w:val="20"/>
        </w:rPr>
      </w:pPr>
      <w:r>
        <w:rPr>
          <w:rFonts w:ascii="Times New Roman" w:hAnsi="Times New Roman"/>
          <w:sz w:val="20"/>
        </w:rPr>
        <w:t xml:space="preserve">During 4Q25, Grupo Aeroméxico received one Boeing 737 MAX-8 and two Boeing 737 MAX-9 aircraft. </w:t>
      </w:r>
    </w:p>
    <w:p>
      <w:pPr>
        <w:pStyle w:val="TextBody"/>
        <w:bidi w:val="0"/>
        <w:spacing w:before="240" w:after="0"/>
        <w:jc w:val="left"/>
        <w:rPr>
          <w:rFonts w:ascii="Times New Roman" w:hAnsi="Times New Roman"/>
          <w:sz w:val="20"/>
        </w:rPr>
      </w:pPr>
      <w:r>
        <w:rPr>
          <w:rFonts w:ascii="Times New Roman" w:hAnsi="Times New Roman"/>
          <w:sz w:val="20"/>
        </w:rPr>
        <w:t xml:space="preserve">Aeroméxico’s operating fleet was comprised of 165 aircraft as of December 31, 2025, with an average age of 8.6 years. </w:t>
      </w:r>
    </w:p>
    <w:p>
      <w:pPr>
        <w:pStyle w:val="TextBody"/>
        <w:bidi w:val="0"/>
        <w:spacing w:before="360" w:after="0"/>
        <w:jc w:val="center"/>
        <w:rPr>
          <w:rFonts w:ascii="Times New Roman" w:hAnsi="Times New Roman"/>
          <w:b/>
          <w:sz w:val="20"/>
        </w:rPr>
      </w:pPr>
      <w:r>
        <w:rPr>
          <w:rFonts w:ascii="Times New Roman" w:hAnsi="Times New Roman"/>
          <w:b/>
          <w:sz w:val="20"/>
        </w:rPr>
        <w:t xml:space="preserve">OPERATING FLEET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12"/>
        <w:gridCol w:w="219"/>
        <w:gridCol w:w="76"/>
        <w:gridCol w:w="488"/>
        <w:gridCol w:w="60"/>
        <w:gridCol w:w="219"/>
        <w:gridCol w:w="76"/>
        <w:gridCol w:w="488"/>
        <w:gridCol w:w="60"/>
        <w:gridCol w:w="219"/>
        <w:gridCol w:w="76"/>
        <w:gridCol w:w="488"/>
        <w:gridCol w:w="60"/>
        <w:gridCol w:w="219"/>
        <w:gridCol w:w="76"/>
        <w:gridCol w:w="487"/>
        <w:gridCol w:w="65"/>
      </w:tblGrid>
      <w:tr>
        <w:trPr/>
        <w:tc>
          <w:tcPr>
            <w:tcW w:w="6012"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Fleet</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B-737-800</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34</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B-737 MAX 8</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B-737 MAX 9</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30</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B-787</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Aeroméxico</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122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b/>
              </w:rPr>
            </w:pPr>
            <w:r>
              <w:rPr>
                <w:b/>
              </w:rPr>
              <w:t>131</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E-190</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6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Aeroméxico Connect</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b/>
              </w:rPr>
            </w:pPr>
            <w:r>
              <w:rPr>
                <w:b/>
              </w:rPr>
              <w:t>34</w:t>
            </w:r>
          </w:p>
        </w:tc>
        <w:tc>
          <w:tcPr>
            <w:tcW w:w="65" w:type="dxa"/>
            <w:tcBorders/>
            <w:shd w:fill="CCEEFF" w:val="clear"/>
            <w:vAlign w:val="bottom"/>
          </w:tcPr>
          <w:p>
            <w:pPr>
              <w:pStyle w:val="TableContents"/>
              <w:bidi w:val="0"/>
              <w:spacing w:before="0" w:after="283"/>
              <w:jc w:val="left"/>
              <w:rPr/>
            </w:pPr>
            <w:r>
              <w:rPr/>
              <w:t> </w:t>
            </w:r>
          </w:p>
        </w:tc>
      </w:tr>
      <w:tr>
        <w:trPr/>
        <w:tc>
          <w:tcPr>
            <w:tcW w:w="6012" w:type="dxa"/>
            <w:tcBorders/>
          </w:tcPr>
          <w:p>
            <w:pPr>
              <w:pStyle w:val="TableContents"/>
              <w:bidi w:val="0"/>
              <w:spacing w:before="0" w:after="0"/>
              <w:jc w:val="left"/>
              <w:rPr>
                <w:rFonts w:ascii="Times New Roman" w:hAnsi="Times New Roman"/>
                <w:b/>
                <w:sz w:val="20"/>
              </w:rPr>
            </w:pPr>
            <w:r>
              <w:rPr>
                <w:rFonts w:ascii="Times New Roman" w:hAnsi="Times New Roman"/>
                <w:b/>
                <w:sz w:val="20"/>
              </w:rPr>
              <w:t>Grupo Aeroméxico</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156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b/>
              </w:rPr>
            </w:pPr>
            <w:r>
              <w:rPr>
                <w:b/>
              </w:rPr>
              <w:t>162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b/>
              </w:rPr>
            </w:pPr>
            <w:r>
              <w:rPr>
                <w:b/>
              </w:rPr>
              <w:t>165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December 31, 2024, we recognized $45.2 million of extraordinary favorable effects within operating income and $44.5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initiatives recorded in 2024. For the full year 2024, we recognized $165.8 million of extraordinary favorable effects within operating income and $160.3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and full year ended December 31, 2025, we recognized extraordinary income of $71.1 million from the sale of the Group’s 50% equity interest in MRO (TechOps), a joint venture owned in equal parts by Aeroméxico and Delta, dedicated to providing aircraft maintenance and repair services and non-capitalized administrative expenses of $4.3 million related to our Initial Public Offering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EBITDAR, Adjusted Net Debt to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pPr>
            <w:r>
              <w:rPr/>
              <w:t>“</w:t>
            </w:r>
            <w:r>
              <w:rPr>
                <w:rFonts w:ascii="Times New Roman" w:hAnsi="Times New Roman"/>
                <w:sz w:val="20"/>
              </w:rPr>
              <w:t xml:space="preserve">Normalized” metrics presented in this column exclude 2024 and 2025 extraordinary, non-recurrent items (see footnotes 1 and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are computed by comparing Normalized 4Q24 results with Normalized 4Q25 results, and twelve months 2024 results with twelve months 2025 results,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 revenue mix consist of revenue from premium products and services above Básica / Clásica coach cabin products. Ratio is calculated based on total passenger revenue.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4Q25 &amp; FY25 EARNINGS CALL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6"/>
        <w:gridCol w:w="120"/>
        <w:gridCol w:w="7909"/>
      </w:tblGrid>
      <w:tr>
        <w:trPr/>
        <w:tc>
          <w:tcPr>
            <w:tcW w:w="21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09" w:type="dxa"/>
            <w:tcBorders/>
            <w:vAlign w:val="center"/>
          </w:tcPr>
          <w:p>
            <w:pPr>
              <w:pStyle w:val="TableContents"/>
              <w:bidi w:val="0"/>
              <w:spacing w:before="0" w:after="283"/>
              <w:jc w:val="left"/>
              <w:rPr>
                <w:sz w:val="4"/>
                <w:szCs w:val="4"/>
              </w:rPr>
            </w:pPr>
            <w:r>
              <w:rPr>
                <w:sz w:val="4"/>
                <w:szCs w:val="4"/>
              </w:rPr>
            </w:r>
          </w:p>
        </w:tc>
      </w:tr>
      <w:tr>
        <w:trPr/>
        <w:tc>
          <w:tcPr>
            <w:tcW w:w="2176" w:type="dxa"/>
            <w:tcBorders/>
          </w:tcPr>
          <w:p>
            <w:pPr>
              <w:pStyle w:val="TableContents"/>
              <w:bidi w:val="0"/>
              <w:spacing w:before="0" w:after="283"/>
              <w:jc w:val="left"/>
              <w:rPr>
                <w:b/>
              </w:rPr>
            </w:pPr>
            <w:r>
              <w:rPr>
                <w:b/>
              </w:rPr>
              <w:t>Date</w:t>
            </w:r>
          </w:p>
        </w:tc>
        <w:tc>
          <w:tcPr>
            <w:tcW w:w="120"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pPr>
            <w:r>
              <w:rPr/>
              <w:t>Tuesday, February 17, 2026</w:t>
            </w:r>
          </w:p>
        </w:tc>
      </w:tr>
      <w:tr>
        <w:trPr>
          <w:trHeight w:val="120" w:hRule="atLeast"/>
        </w:trPr>
        <w:tc>
          <w:tcPr>
            <w:tcW w:w="2176" w:type="dxa"/>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tcPr>
          <w:p>
            <w:pPr>
              <w:pStyle w:val="TableContents"/>
              <w:bidi w:val="0"/>
              <w:spacing w:before="0" w:after="283"/>
              <w:jc w:val="left"/>
              <w:rPr>
                <w:b/>
              </w:rPr>
            </w:pPr>
            <w:r>
              <w:rPr>
                <w:b/>
              </w:rPr>
              <w:t>Time</w:t>
            </w:r>
          </w:p>
        </w:tc>
        <w:tc>
          <w:tcPr>
            <w:tcW w:w="120"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pPr>
            <w:r>
              <w:rPr/>
              <w:t>08:00 a.m. ET (NY) / 07:00 a.m. CT (CDMX)</w:t>
            </w:r>
          </w:p>
        </w:tc>
      </w:tr>
      <w:tr>
        <w:trPr>
          <w:trHeight w:val="120" w:hRule="atLeast"/>
        </w:trPr>
        <w:tc>
          <w:tcPr>
            <w:tcW w:w="2176" w:type="dxa"/>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tcPr>
          <w:p>
            <w:pPr>
              <w:pStyle w:val="TableContents"/>
              <w:bidi w:val="0"/>
              <w:spacing w:before="0" w:after="283"/>
              <w:jc w:val="left"/>
              <w:rPr>
                <w:b/>
              </w:rPr>
            </w:pPr>
            <w:r>
              <w:rPr>
                <w:b/>
              </w:rPr>
              <w:t>Webcast Link</w:t>
            </w:r>
          </w:p>
        </w:tc>
        <w:tc>
          <w:tcPr>
            <w:tcW w:w="120"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i/>
                <w:u w:val="single"/>
              </w:rPr>
            </w:pPr>
            <w:r>
              <w:rPr>
                <w:i/>
                <w:u w:val="single"/>
              </w:rPr>
              <w:t>https://edge.media-server.com/mmc/p/38azfj59</w:t>
            </w:r>
          </w:p>
        </w:tc>
      </w:tr>
      <w:tr>
        <w:trPr>
          <w:trHeight w:val="120" w:hRule="atLeast"/>
        </w:trPr>
        <w:tc>
          <w:tcPr>
            <w:tcW w:w="2176" w:type="dxa"/>
            <w:tcBorders/>
            <w:vAlign w:val="center"/>
          </w:tcPr>
          <w:p>
            <w:pPr>
              <w:pStyle w:val="TableContents"/>
              <w:bidi w:val="0"/>
              <w:spacing w:before="0" w:after="283"/>
              <w:jc w:val="left"/>
              <w:rPr>
                <w:sz w:val="4"/>
                <w:szCs w:val="4"/>
              </w:rPr>
            </w:pPr>
            <w:r>
              <w:rPr>
                <w:sz w:val="4"/>
                <w:szCs w:val="4"/>
              </w:rPr>
            </w:r>
          </w:p>
        </w:tc>
        <w:tc>
          <w:tcPr>
            <w:tcW w:w="8029"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tcPr>
          <w:p>
            <w:pPr>
              <w:pStyle w:val="TableContents"/>
              <w:bidi w:val="0"/>
              <w:spacing w:before="0" w:after="283"/>
              <w:jc w:val="left"/>
              <w:rPr>
                <w:b/>
              </w:rPr>
            </w:pPr>
            <w:r>
              <w:rPr>
                <w:b/>
              </w:rPr>
              <w:t>Participant Listening*</w:t>
            </w:r>
          </w:p>
        </w:tc>
        <w:tc>
          <w:tcPr>
            <w:tcW w:w="120" w:type="dxa"/>
            <w:tcBorders/>
            <w:vAlign w:val="bottom"/>
          </w:tcPr>
          <w:p>
            <w:pPr>
              <w:pStyle w:val="TableContents"/>
              <w:bidi w:val="0"/>
              <w:spacing w:before="0" w:after="283"/>
              <w:jc w:val="left"/>
              <w:rPr/>
            </w:pPr>
            <w:r>
              <w:rPr/>
              <w:t>  </w:t>
            </w:r>
          </w:p>
        </w:tc>
        <w:tc>
          <w:tcPr>
            <w:tcW w:w="7909" w:type="dxa"/>
            <w:tcBorders/>
          </w:tcPr>
          <w:p>
            <w:pPr>
              <w:pStyle w:val="TableContents"/>
              <w:bidi w:val="0"/>
              <w:spacing w:before="0" w:after="283"/>
              <w:jc w:val="left"/>
              <w:rPr>
                <w:i/>
                <w:u w:val="single"/>
              </w:rPr>
            </w:pPr>
            <w:r>
              <w:rPr>
                <w:i/>
                <w:u w:val="single"/>
              </w:rPr>
              <w:t>https://register-conf.media-server.com/register/BI7b40694b1501455cbefc19bf4dbe2770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Participants can complete the online registration form and upon registering will receive the dial-in info and a unique PIN to join the call.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operations center in Terminal 2 of the Mexico City International Airport. Its destination network has reach in Mexico, the United States, Canada, Central America, South America, Asia and Europe. The Group’s current operating fleet includes Boeing 787 and 737 aircraft, as well as the latest generation Embraer 190. Aeroméxico is a founding partner of SkyTeam, an alliance that celebrates 20 years and offers connectivity in more than 170 countries, through the 19 partner airlines. Aeroméxico created and implemented a Health and Hygiene Management System (SGSH) to protect its clients and collaborators at all stages of its operation. </w:t>
      </w:r>
    </w:p>
    <w:p>
      <w:pPr>
        <w:pStyle w:val="TextBody"/>
        <w:bidi w:val="0"/>
        <w:spacing w:before="240" w:after="0"/>
        <w:jc w:val="left"/>
        <w:rPr>
          <w:rFonts w:ascii="Times New Roman" w:hAnsi="Times New Roman"/>
          <w:sz w:val="20"/>
        </w:rPr>
      </w:pPr>
      <w:r>
        <w:rPr>
          <w:rFonts w:ascii="Times New Roman" w:hAnsi="Times New Roman"/>
          <w:sz w:val="20"/>
          <w:u w:val="single"/>
        </w:rPr>
        <w:t>www.aeromexico.com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www.skyteam.com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accidents, global instability, security breaches, terrorism and natural disasters;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Profit or Loss and other Comprehensive Income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71"/>
        <w:gridCol w:w="148"/>
        <w:gridCol w:w="60"/>
        <w:gridCol w:w="573"/>
        <w:gridCol w:w="155"/>
        <w:gridCol w:w="97"/>
        <w:gridCol w:w="60"/>
        <w:gridCol w:w="573"/>
        <w:gridCol w:w="60"/>
        <w:gridCol w:w="148"/>
        <w:gridCol w:w="75"/>
        <w:gridCol w:w="747"/>
        <w:gridCol w:w="319"/>
        <w:gridCol w:w="97"/>
        <w:gridCol w:w="60"/>
        <w:gridCol w:w="573"/>
        <w:gridCol w:w="155"/>
        <w:gridCol w:w="97"/>
        <w:gridCol w:w="60"/>
        <w:gridCol w:w="573"/>
        <w:gridCol w:w="155"/>
        <w:gridCol w:w="96"/>
        <w:gridCol w:w="81"/>
        <w:gridCol w:w="742"/>
        <w:gridCol w:w="330"/>
      </w:tblGrid>
      <w:tr>
        <w:trPr/>
        <w:tc>
          <w:tcPr>
            <w:tcW w:w="4171"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548"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 December 31</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592"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w:t>
            </w:r>
            <w:r>
              <w:rPr/>
              <w:br/>
            </w:r>
            <w:r>
              <w:rPr>
                <w:b/>
              </w:rPr>
              <w:t>Ended December 31</w:t>
            </w:r>
          </w:p>
        </w:tc>
        <w:tc>
          <w:tcPr>
            <w:tcW w:w="330" w:type="dxa"/>
            <w:tcBorders/>
            <w:vAlign w:val="bottom"/>
          </w:tcPr>
          <w:p>
            <w:pPr>
              <w:pStyle w:val="TableContents"/>
              <w:bidi w:val="0"/>
              <w:spacing w:before="0" w:after="283"/>
              <w:jc w:val="left"/>
              <w:rPr/>
            </w:pPr>
            <w:r>
              <w:rPr/>
              <w:t> </w:t>
            </w:r>
          </w:p>
        </w:tc>
      </w:tr>
      <w:tr>
        <w:trPr/>
        <w:tc>
          <w:tcPr>
            <w:tcW w:w="417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Passenger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1,303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1,310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-0.5</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4,860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5,151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-5.6</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 Cargo</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0.1</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5.5</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22.0</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8.6</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1,438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1,435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0.2</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5,361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5,620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-4.6</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Jet-fuel</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280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276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1.2</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1,138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1,237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-8.0</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Wages, salaries and benefits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319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286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11.9</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1,148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1,084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5.9</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-12.2</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258</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-10.3</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Aircraft, communications and traffic services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7.8</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615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3.9</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services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11.8</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7.0</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Travel agent commissions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-13.7</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-20.6</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administrative</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-9.7</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406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-11.6</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Aircraft leasing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5.7</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9.1</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4.9</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730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655</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11.5</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NA</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NA</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-37.0</w:t>
            </w:r>
          </w:p>
        </w:tc>
        <w:tc>
          <w:tcPr>
            <w:tcW w:w="31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-45.2</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Share of gain on equity accounted investees, net of tax</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NA</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NA</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1,135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1,178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b/>
              </w:rPr>
            </w:pPr>
            <w:r>
              <w:rPr>
                <w:b/>
              </w:rPr>
              <w:t>-3.7</w:t>
            </w:r>
          </w:p>
        </w:tc>
        <w:tc>
          <w:tcPr>
            <w:tcW w:w="319"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4,432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4,553</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-2.7</w:t>
            </w:r>
          </w:p>
        </w:tc>
        <w:tc>
          <w:tcPr>
            <w:tcW w:w="330" w:type="dxa"/>
            <w:tcBorders/>
            <w:shd w:fill="CCEEFF" w:val="clear"/>
            <w:vAlign w:val="bottom"/>
          </w:tcPr>
          <w:p>
            <w:pPr>
              <w:pStyle w:val="TableContents"/>
              <w:bidi w:val="0"/>
              <w:spacing w:before="0" w:after="283"/>
              <w:jc w:val="left"/>
              <w:rPr>
                <w:b/>
              </w:rPr>
            </w:pPr>
            <w:r>
              <w:rPr>
                <w:b/>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income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303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257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b/>
              </w:rPr>
            </w:pPr>
            <w:r>
              <w:rPr>
                <w:b/>
              </w:rPr>
              <w:t>18.0</w:t>
            </w:r>
          </w:p>
        </w:tc>
        <w:tc>
          <w:tcPr>
            <w:tcW w:w="319" w:type="dxa"/>
            <w:tcBorders/>
            <w:vAlign w:val="bottom"/>
          </w:tcPr>
          <w:p>
            <w:pPr>
              <w:pStyle w:val="TableContents"/>
              <w:bidi w:val="0"/>
              <w:spacing w:before="0" w:after="283"/>
              <w:jc w:val="left"/>
              <w:rPr>
                <w:b/>
              </w:rPr>
            </w:pPr>
            <w:r>
              <w:rPr>
                <w:b/>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928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1,067</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-13.0</w:t>
            </w:r>
          </w:p>
        </w:tc>
        <w:tc>
          <w:tcPr>
            <w:tcW w:w="330" w:type="dxa"/>
            <w:tcBorders/>
            <w:vAlign w:val="bottom"/>
          </w:tcPr>
          <w:p>
            <w:pPr>
              <w:pStyle w:val="TableContents"/>
              <w:bidi w:val="0"/>
              <w:spacing w:before="0" w:after="283"/>
              <w:jc w:val="left"/>
              <w:rPr>
                <w:b/>
              </w:rPr>
            </w:pPr>
            <w:r>
              <w:rPr>
                <w:b/>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income (cost):</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Net finance cost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-31.5</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39.1</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180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78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b/>
              </w:rPr>
            </w:pPr>
            <w:r>
              <w:rPr>
                <w:b/>
              </w:rPr>
              <w:t>131.8</w:t>
            </w:r>
          </w:p>
        </w:tc>
        <w:tc>
          <w:tcPr>
            <w:tcW w:w="319"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414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-40.6</w:t>
            </w:r>
          </w:p>
        </w:tc>
        <w:tc>
          <w:tcPr>
            <w:tcW w:w="330"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517.5</w:t>
            </w:r>
          </w:p>
        </w:tc>
        <w:tc>
          <w:tcPr>
            <w:tcW w:w="31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-22.1</w:t>
            </w:r>
          </w:p>
        </w:tc>
        <w:tc>
          <w:tcPr>
            <w:tcW w:w="330"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for the period</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165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75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b/>
              </w:rPr>
            </w:pPr>
            <w:r>
              <w:rPr>
                <w:b/>
              </w:rPr>
              <w:t>119.0</w:t>
            </w:r>
          </w:p>
        </w:tc>
        <w:tc>
          <w:tcPr>
            <w:tcW w:w="319"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352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617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-43.0</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Financial Position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4"/>
        <w:gridCol w:w="539"/>
        <w:gridCol w:w="189"/>
        <w:gridCol w:w="1772"/>
        <w:gridCol w:w="155"/>
        <w:gridCol w:w="486"/>
        <w:gridCol w:w="189"/>
        <w:gridCol w:w="1772"/>
        <w:gridCol w:w="159"/>
      </w:tblGrid>
      <w:tr>
        <w:trPr/>
        <w:tc>
          <w:tcPr>
            <w:tcW w:w="4944" w:type="dxa"/>
            <w:tcBorders/>
            <w:vAlign w:val="center"/>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44"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45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(USD Millions)</w:t>
            </w:r>
          </w:p>
        </w:tc>
        <w:tc>
          <w:tcPr>
            <w:tcW w:w="159" w:type="dxa"/>
            <w:tcBorders/>
            <w:vAlign w:val="bottom"/>
          </w:tcPr>
          <w:p>
            <w:pPr>
              <w:pStyle w:val="TableContents"/>
              <w:bidi w:val="0"/>
              <w:spacing w:before="0" w:after="283"/>
              <w:jc w:val="left"/>
              <w:rPr/>
            </w:pPr>
            <w:r>
              <w:rPr/>
              <w:t> </w:t>
            </w:r>
          </w:p>
        </w:tc>
      </w:tr>
      <w:tr>
        <w:trPr/>
        <w:tc>
          <w:tcPr>
            <w:tcW w:w="4944"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1,024</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842</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sz w:val="20"/>
              </w:rPr>
            </w:pPr>
            <w:r>
              <w:rPr>
                <w:rFonts w:ascii="Times New Roman" w:hAnsi="Times New Roman"/>
                <w:sz w:val="20"/>
              </w:rPr>
              <w:t>Trade and other receivables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591</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deposits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140</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1,980</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1,647</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4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including right-of-use</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3,674</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3,207</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1,539</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1,530</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5,213</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4,737</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7,193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6,384</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44"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451</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448</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2,645</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2,745</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3,193</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44"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including leases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3,604</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3,253</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1,085</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838</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4,689</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4,090</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7,785</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7,283</w:t>
            </w:r>
          </w:p>
        </w:tc>
        <w:tc>
          <w:tcPr>
            <w:tcW w:w="159" w:type="dxa"/>
            <w:tcBorders/>
            <w:shd w:fill="CCEEFF" w:val="clear"/>
            <w:vAlign w:val="bottom"/>
          </w:tcPr>
          <w:p>
            <w:pPr>
              <w:pStyle w:val="TableContents"/>
              <w:bidi w:val="0"/>
              <w:spacing w:before="0" w:after="283"/>
              <w:jc w:val="left"/>
              <w:rPr/>
            </w:pPr>
            <w:r>
              <w:rPr/>
              <w:t> </w:t>
            </w:r>
          </w:p>
        </w:tc>
      </w:tr>
      <w:tr>
        <w:trPr/>
        <w:tc>
          <w:tcPr>
            <w:tcW w:w="49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(deficit)</w:t>
            </w:r>
          </w:p>
        </w:tc>
        <w:tc>
          <w:tcPr>
            <w:tcW w:w="5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(900</w:t>
            </w:r>
          </w:p>
        </w:tc>
        <w:tc>
          <w:tcPr>
            <w:tcW w:w="159" w:type="dxa"/>
            <w:tcBorders/>
            <w:vAlign w:val="bottom"/>
          </w:tcPr>
          <w:p>
            <w:pPr>
              <w:pStyle w:val="TableContents"/>
              <w:bidi w:val="0"/>
              <w:spacing w:before="0" w:after="283"/>
              <w:jc w:val="left"/>
              <w:rPr/>
            </w:pPr>
            <w:r>
              <w:rPr/>
              <w:t>) </w:t>
            </w:r>
          </w:p>
        </w:tc>
      </w:tr>
      <w:tr>
        <w:trPr/>
        <w:tc>
          <w:tcPr>
            <w:tcW w:w="4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5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7,193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6,384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S.A.B. de C.V.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5"/>
        <w:gridCol w:w="224"/>
        <w:gridCol w:w="102"/>
        <w:gridCol w:w="997"/>
        <w:gridCol w:w="286"/>
        <w:gridCol w:w="209"/>
        <w:gridCol w:w="102"/>
        <w:gridCol w:w="997"/>
        <w:gridCol w:w="286"/>
        <w:gridCol w:w="209"/>
        <w:gridCol w:w="102"/>
        <w:gridCol w:w="786"/>
        <w:gridCol w:w="160"/>
      </w:tblGrid>
      <w:tr>
        <w:trPr/>
        <w:tc>
          <w:tcPr>
            <w:tcW w:w="574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4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40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 December 31,</w:t>
            </w:r>
          </w:p>
        </w:tc>
        <w:tc>
          <w:tcPr>
            <w:tcW w:w="160"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40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(USD Millions)</w:t>
            </w:r>
          </w:p>
        </w:tc>
        <w:tc>
          <w:tcPr>
            <w:tcW w:w="160"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cash</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1,470</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1,878</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(408</w:t>
            </w:r>
          </w:p>
        </w:tc>
        <w:tc>
          <w:tcPr>
            <w:tcW w:w="160"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Operational assets and liabilities</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(154</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(194</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generated from (required by) operating activities</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1,316</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1,684</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(368</w:t>
            </w:r>
          </w:p>
        </w:tc>
        <w:tc>
          <w:tcPr>
            <w:tcW w:w="160"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paid</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(74</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(37</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(38</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(328</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(280</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(48</w:t>
            </w:r>
          </w:p>
        </w:tc>
        <w:tc>
          <w:tcPr>
            <w:tcW w:w="160"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from (used in) operating activities</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913</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1,368</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(454</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(270</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(489</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219</w:t>
            </w:r>
          </w:p>
        </w:tc>
        <w:tc>
          <w:tcPr>
            <w:tcW w:w="160"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from (used in) financing activities</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(496</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(920</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424</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fluctuations on cash held</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36</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(54</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90</w:t>
            </w:r>
          </w:p>
        </w:tc>
        <w:tc>
          <w:tcPr>
            <w:tcW w:w="160"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182</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(96</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278</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At beginning of the period</w:t>
            </w:r>
          </w:p>
        </w:tc>
        <w:tc>
          <w:tcPr>
            <w:tcW w:w="22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842</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938</w:t>
            </w:r>
          </w:p>
        </w:tc>
        <w:tc>
          <w:tcPr>
            <w:tcW w:w="2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(96</w:t>
            </w:r>
          </w:p>
        </w:tc>
        <w:tc>
          <w:tcPr>
            <w:tcW w:w="160"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end of the period</w:t>
            </w:r>
          </w:p>
        </w:tc>
        <w:tc>
          <w:tcPr>
            <w:tcW w:w="22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1,024</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842</w:t>
            </w:r>
          </w:p>
        </w:tc>
        <w:tc>
          <w:tcPr>
            <w:tcW w:w="2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182</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Company has used the US dollar as the presentation currency for these consolidated financial statements, which is also its functional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AND OPERATIONAL INDICATORS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3"/>
        <w:gridCol w:w="142"/>
        <w:gridCol w:w="60"/>
        <w:gridCol w:w="577"/>
        <w:gridCol w:w="284"/>
        <w:gridCol w:w="88"/>
        <w:gridCol w:w="60"/>
        <w:gridCol w:w="577"/>
        <w:gridCol w:w="284"/>
        <w:gridCol w:w="88"/>
        <w:gridCol w:w="60"/>
        <w:gridCol w:w="741"/>
        <w:gridCol w:w="352"/>
        <w:gridCol w:w="88"/>
        <w:gridCol w:w="59"/>
        <w:gridCol w:w="577"/>
        <w:gridCol w:w="284"/>
        <w:gridCol w:w="88"/>
        <w:gridCol w:w="60"/>
        <w:gridCol w:w="577"/>
        <w:gridCol w:w="284"/>
        <w:gridCol w:w="88"/>
        <w:gridCol w:w="60"/>
        <w:gridCol w:w="741"/>
        <w:gridCol w:w="603"/>
      </w:tblGrid>
      <w:tr>
        <w:trPr/>
        <w:tc>
          <w:tcPr>
            <w:tcW w:w="338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383"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19"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818"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w:t>
            </w:r>
          </w:p>
        </w:tc>
        <w:tc>
          <w:tcPr>
            <w:tcW w:w="603" w:type="dxa"/>
            <w:tcBorders/>
            <w:vAlign w:val="bottom"/>
          </w:tcPr>
          <w:p>
            <w:pPr>
              <w:pStyle w:val="TableContents"/>
              <w:bidi w:val="0"/>
              <w:spacing w:before="0" w:after="283"/>
              <w:jc w:val="left"/>
              <w:rPr/>
            </w:pPr>
            <w:r>
              <w:rPr/>
              <w:t> </w:t>
            </w:r>
          </w:p>
        </w:tc>
      </w:tr>
      <w:tr>
        <w:trPr/>
        <w:tc>
          <w:tcPr>
            <w:tcW w:w="33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KPIs</w:t>
            </w:r>
          </w:p>
        </w:tc>
        <w:tc>
          <w:tcPr>
            <w:tcW w:w="142" w:type="dxa"/>
            <w:tcBorders/>
            <w:vAlign w:val="bottom"/>
          </w:tcPr>
          <w:p>
            <w:pPr>
              <w:pStyle w:val="TableContents"/>
              <w:bidi w:val="0"/>
              <w:spacing w:before="0" w:after="283"/>
              <w:jc w:val="left"/>
              <w:rPr/>
            </w:pPr>
            <w:r>
              <w:rPr/>
              <w:t>  </w:t>
            </w:r>
          </w:p>
        </w:tc>
        <w:tc>
          <w:tcPr>
            <w:tcW w:w="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603" w:type="dxa"/>
            <w:tcBorders/>
            <w:vAlign w:val="bottom"/>
          </w:tcPr>
          <w:p>
            <w:pPr>
              <w:pStyle w:val="TableContents"/>
              <w:bidi w:val="0"/>
              <w:spacing w:before="0" w:after="283"/>
              <w:jc w:val="left"/>
              <w:rPr/>
            </w:pPr>
            <w:r>
              <w:rPr/>
              <w:t> </w:t>
            </w:r>
          </w:p>
        </w:tc>
      </w:tr>
      <w:tr>
        <w:trPr/>
        <w:tc>
          <w:tcPr>
            <w:tcW w:w="3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1,438</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1,435</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0.2</w:t>
            </w:r>
          </w:p>
        </w:tc>
        <w:tc>
          <w:tcPr>
            <w:tcW w:w="35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5,361</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5,620</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(4.6</w:t>
            </w:r>
          </w:p>
        </w:tc>
        <w:tc>
          <w:tcPr>
            <w:tcW w:w="603" w:type="dxa"/>
            <w:tcBorders/>
            <w:shd w:fill="CCEEFF" w:val="clear"/>
            <w:vAlign w:val="bottom"/>
          </w:tcPr>
          <w:p>
            <w:pPr>
              <w:pStyle w:val="TableContents"/>
              <w:bidi w:val="0"/>
              <w:spacing w:before="0" w:after="283"/>
              <w:jc w:val="left"/>
              <w:rPr/>
            </w:pPr>
            <w:r>
              <w:rPr/>
              <w:t>)% </w:t>
            </w:r>
          </w:p>
        </w:tc>
      </w:tr>
      <w:tr>
        <w:trPr/>
        <w:tc>
          <w:tcPr>
            <w:tcW w:w="3383" w:type="dxa"/>
            <w:tcBorders/>
          </w:tcPr>
          <w:p>
            <w:pPr>
              <w:pStyle w:val="TableContents"/>
              <w:bidi w:val="0"/>
              <w:spacing w:before="0" w:after="0"/>
              <w:jc w:val="left"/>
              <w:rPr>
                <w:rFonts w:ascii="Times New Roman" w:hAnsi="Times New Roman"/>
                <w:sz w:val="20"/>
              </w:rPr>
            </w:pPr>
            <w:r>
              <w:rPr>
                <w:rFonts w:ascii="Times New Roman" w:hAnsi="Times New Roman"/>
                <w:sz w:val="20"/>
              </w:rPr>
              <w:t>Passenger revenue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1,303</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1,310</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(0.5</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4,860</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5,151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(5.6</w:t>
            </w:r>
          </w:p>
        </w:tc>
        <w:tc>
          <w:tcPr>
            <w:tcW w:w="603" w:type="dxa"/>
            <w:tcBorders/>
            <w:vAlign w:val="bottom"/>
          </w:tcPr>
          <w:p>
            <w:pPr>
              <w:pStyle w:val="TableContents"/>
              <w:bidi w:val="0"/>
              <w:spacing w:before="0" w:after="283"/>
              <w:jc w:val="left"/>
              <w:rPr/>
            </w:pPr>
            <w:r>
              <w:rPr/>
              <w:t>)% </w:t>
            </w:r>
          </w:p>
        </w:tc>
      </w:tr>
      <w:tr>
        <w:trPr/>
        <w:tc>
          <w:tcPr>
            <w:tcW w:w="3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502</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446</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12.5</w:t>
            </w:r>
          </w:p>
        </w:tc>
        <w:tc>
          <w:tcPr>
            <w:tcW w:w="35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1,672</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1,738</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(3.8</w:t>
            </w:r>
          </w:p>
        </w:tc>
        <w:tc>
          <w:tcPr>
            <w:tcW w:w="603" w:type="dxa"/>
            <w:tcBorders/>
            <w:shd w:fill="CCEEFF" w:val="clear"/>
            <w:vAlign w:val="bottom"/>
          </w:tcPr>
          <w:p>
            <w:pPr>
              <w:pStyle w:val="TableContents"/>
              <w:bidi w:val="0"/>
              <w:spacing w:before="0" w:after="283"/>
              <w:jc w:val="left"/>
              <w:rPr/>
            </w:pPr>
            <w:r>
              <w:rPr/>
              <w:t>)% </w:t>
            </w:r>
          </w:p>
        </w:tc>
      </w:tr>
      <w:tr>
        <w:trPr/>
        <w:tc>
          <w:tcPr>
            <w:tcW w:w="338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EBITDAR margin(1) (% of Revenue)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35</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3.8 p.p.</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0.3 p.p.</w:t>
            </w:r>
          </w:p>
        </w:tc>
        <w:tc>
          <w:tcPr>
            <w:tcW w:w="603" w:type="dxa"/>
            <w:tcBorders/>
            <w:vAlign w:val="bottom"/>
          </w:tcPr>
          <w:p>
            <w:pPr>
              <w:pStyle w:val="TableContents"/>
              <w:bidi w:val="0"/>
              <w:spacing w:before="0" w:after="283"/>
              <w:jc w:val="left"/>
              <w:rPr/>
            </w:pPr>
            <w:r>
              <w:rPr/>
              <w:t> </w:t>
            </w:r>
          </w:p>
        </w:tc>
      </w:tr>
      <w:tr>
        <w:trPr/>
        <w:tc>
          <w:tcPr>
            <w:tcW w:w="3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income (loss)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303</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257</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18.0</w:t>
            </w:r>
          </w:p>
        </w:tc>
        <w:tc>
          <w:tcPr>
            <w:tcW w:w="35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928</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1,067</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(13.0</w:t>
            </w:r>
          </w:p>
        </w:tc>
        <w:tc>
          <w:tcPr>
            <w:tcW w:w="603" w:type="dxa"/>
            <w:tcBorders/>
            <w:shd w:fill="CCEEFF" w:val="clear"/>
            <w:vAlign w:val="bottom"/>
          </w:tcPr>
          <w:p>
            <w:pPr>
              <w:pStyle w:val="TableContents"/>
              <w:bidi w:val="0"/>
              <w:spacing w:before="0" w:after="283"/>
              <w:jc w:val="left"/>
              <w:rPr/>
            </w:pPr>
            <w:r>
              <w:rPr/>
              <w:t>)% </w:t>
            </w:r>
          </w:p>
        </w:tc>
      </w:tr>
      <w:tr>
        <w:trPr/>
        <w:tc>
          <w:tcPr>
            <w:tcW w:w="33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Margin (% of Revenue)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18</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3.2 p.p.</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17</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19</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(1.7</w:t>
            </w:r>
          </w:p>
        </w:tc>
        <w:tc>
          <w:tcPr>
            <w:tcW w:w="603" w:type="dxa"/>
            <w:tcBorders/>
            <w:vAlign w:val="bottom"/>
          </w:tcPr>
          <w:p>
            <w:pPr>
              <w:pStyle w:val="TableContents"/>
              <w:bidi w:val="0"/>
              <w:spacing w:before="0" w:after="283"/>
              <w:jc w:val="left"/>
              <w:rPr/>
            </w:pPr>
            <w:r>
              <w:rPr/>
              <w:t>) p.p. </w:t>
            </w:r>
          </w:p>
        </w:tc>
      </w:tr>
      <w:tr>
        <w:trPr/>
        <w:tc>
          <w:tcPr>
            <w:tcW w:w="3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165</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75</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119.0</w:t>
            </w:r>
          </w:p>
        </w:tc>
        <w:tc>
          <w:tcPr>
            <w:tcW w:w="35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352</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617</w:t>
            </w:r>
          </w:p>
        </w:tc>
        <w:tc>
          <w:tcPr>
            <w:tcW w:w="28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(43.0</w:t>
            </w:r>
          </w:p>
        </w:tc>
        <w:tc>
          <w:tcPr>
            <w:tcW w:w="603" w:type="dxa"/>
            <w:tcBorders/>
            <w:shd w:fill="CCEEFF" w:val="clear"/>
            <w:vAlign w:val="bottom"/>
          </w:tcPr>
          <w:p>
            <w:pPr>
              <w:pStyle w:val="TableContents"/>
              <w:bidi w:val="0"/>
              <w:spacing w:before="0" w:after="283"/>
              <w:jc w:val="left"/>
              <w:rPr/>
            </w:pPr>
            <w:r>
              <w:rPr/>
              <w:t>)% </w:t>
            </w:r>
          </w:p>
        </w:tc>
      </w:tr>
      <w:tr>
        <w:trPr/>
        <w:tc>
          <w:tcPr>
            <w:tcW w:w="33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Margin (% of Revenue)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5</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6.2 p.p.</w:t>
            </w:r>
          </w:p>
        </w:tc>
        <w:tc>
          <w:tcPr>
            <w:tcW w:w="35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7</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11</w:t>
            </w:r>
          </w:p>
        </w:tc>
        <w:tc>
          <w:tcPr>
            <w:tcW w:w="28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(4.4</w:t>
            </w:r>
          </w:p>
        </w:tc>
        <w:tc>
          <w:tcPr>
            <w:tcW w:w="603" w:type="dxa"/>
            <w:tcBorders/>
            <w:vAlign w:val="bottom"/>
          </w:tcPr>
          <w:p>
            <w:pPr>
              <w:pStyle w:val="TableContents"/>
              <w:bidi w:val="0"/>
              <w:spacing w:before="0" w:after="283"/>
              <w:jc w:val="left"/>
              <w:rPr/>
            </w:pPr>
            <w:r>
              <w:rPr/>
              <w:t>) p.p.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6"/>
        <w:gridCol w:w="129"/>
        <w:gridCol w:w="60"/>
        <w:gridCol w:w="810"/>
        <w:gridCol w:w="278"/>
        <w:gridCol w:w="71"/>
        <w:gridCol w:w="60"/>
        <w:gridCol w:w="810"/>
        <w:gridCol w:w="278"/>
        <w:gridCol w:w="71"/>
        <w:gridCol w:w="60"/>
        <w:gridCol w:w="695"/>
        <w:gridCol w:w="349"/>
        <w:gridCol w:w="71"/>
        <w:gridCol w:w="60"/>
        <w:gridCol w:w="997"/>
        <w:gridCol w:w="278"/>
        <w:gridCol w:w="71"/>
        <w:gridCol w:w="60"/>
        <w:gridCol w:w="997"/>
        <w:gridCol w:w="278"/>
        <w:gridCol w:w="71"/>
        <w:gridCol w:w="60"/>
        <w:gridCol w:w="695"/>
        <w:gridCol w:w="530"/>
      </w:tblGrid>
      <w:tr>
        <w:trPr/>
        <w:tc>
          <w:tcPr>
            <w:tcW w:w="236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Indicators</w:t>
            </w:r>
          </w:p>
        </w:tc>
        <w:tc>
          <w:tcPr>
            <w:tcW w:w="129"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ASMs (millions)</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8,751</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8,911</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(1.8</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35,804</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35,642</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0.5</w:t>
            </w:r>
          </w:p>
        </w:tc>
        <w:tc>
          <w:tcPr>
            <w:tcW w:w="53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Total RPMs (millions)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7,632</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7,617</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0.2</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30,751</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30,853</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(0.3</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on scheduled flights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87.2</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85.5</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1.7 p.p</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85.9</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86.6</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(0.7</w:t>
            </w:r>
          </w:p>
        </w:tc>
        <w:tc>
          <w:tcPr>
            <w:tcW w:w="530" w:type="dxa"/>
            <w:tcBorders/>
            <w:shd w:fill="CCEEFF" w:val="clear"/>
            <w:vAlign w:val="bottom"/>
          </w:tcPr>
          <w:p>
            <w:pPr>
              <w:pStyle w:val="TableContents"/>
              <w:bidi w:val="0"/>
              <w:spacing w:before="0" w:after="283"/>
              <w:jc w:val="left"/>
              <w:rPr/>
            </w:pPr>
            <w:r>
              <w:rPr/>
              <w:t>) p.p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Passengers (‘000)</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6,168</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6,247</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(1.3</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24,587</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25,338</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(3.0</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On-Time departure performance within 15 minutes (%)</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93.0</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89.4</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3.6 p.p</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92.0</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88.1</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4.0 p.p</w:t>
            </w:r>
          </w:p>
        </w:tc>
        <w:tc>
          <w:tcPr>
            <w:tcW w:w="53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Total liters of fuel (‘000)</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424,151</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435,977</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(2.7</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1,743,449</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1,750,940</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(0.4</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Yield (USD cents) (2)</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9.7</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9.3</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4.0</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8.7</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9.1</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(4.1</w:t>
            </w:r>
          </w:p>
        </w:tc>
        <w:tc>
          <w:tcPr>
            <w:tcW w:w="53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 / ASM (USD cents)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16.4</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16.1</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2.0</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15.0</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15.8</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 revenue / ASM (USD cents)(2)</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13.6</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12.8</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6.2</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12.0</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12.6</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(4.9</w:t>
            </w:r>
          </w:p>
        </w:tc>
        <w:tc>
          <w:tcPr>
            <w:tcW w:w="530" w:type="dxa"/>
            <w:tcBorders/>
            <w:shd w:fill="CCEEFF" w:val="clear"/>
            <w:vAlign w:val="bottom"/>
          </w:tcPr>
          <w:p>
            <w:pPr>
              <w:pStyle w:val="TableContents"/>
              <w:bidi w:val="0"/>
              <w:spacing w:before="0" w:after="283"/>
              <w:jc w:val="left"/>
              <w:rPr/>
            </w:pPr>
            <w:r>
              <w:rPr/>
              <w:t>)% </w:t>
            </w:r>
          </w:p>
        </w:tc>
      </w:tr>
      <w:tr>
        <w:trPr/>
        <w:tc>
          <w:tcPr>
            <w:tcW w:w="2366" w:type="dxa"/>
            <w:tcBorders/>
          </w:tcPr>
          <w:p>
            <w:pPr>
              <w:pStyle w:val="TableContents"/>
              <w:bidi w:val="0"/>
              <w:spacing w:before="0" w:after="0"/>
              <w:jc w:val="left"/>
              <w:rPr>
                <w:rFonts w:ascii="Times New Roman" w:hAnsi="Times New Roman"/>
                <w:sz w:val="20"/>
              </w:rPr>
            </w:pPr>
            <w:r>
              <w:rPr>
                <w:rFonts w:ascii="Times New Roman" w:hAnsi="Times New Roman"/>
                <w:sz w:val="20"/>
              </w:rPr>
              <w:t>Total cost / ASM (USD cents)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13.6</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13.0</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5.2</w:t>
            </w:r>
          </w:p>
        </w:tc>
        <w:tc>
          <w:tcPr>
            <w:tcW w:w="34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12.5</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12.7</w:t>
            </w:r>
          </w:p>
        </w:tc>
        <w:tc>
          <w:tcPr>
            <w:tcW w:w="278"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(1.1</w:t>
            </w:r>
          </w:p>
        </w:tc>
        <w:tc>
          <w:tcPr>
            <w:tcW w:w="530" w:type="dxa"/>
            <w:tcBorders/>
            <w:vAlign w:val="bottom"/>
          </w:tcPr>
          <w:p>
            <w:pPr>
              <w:pStyle w:val="TableContents"/>
              <w:bidi w:val="0"/>
              <w:spacing w:before="0" w:after="283"/>
              <w:jc w:val="left"/>
              <w:rPr/>
            </w:pPr>
            <w:r>
              <w:rPr/>
              <w:t>)% </w:t>
            </w:r>
          </w:p>
        </w:tc>
      </w:tr>
      <w:tr>
        <w:trPr/>
        <w:tc>
          <w:tcPr>
            <w:tcW w:w="2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excluding fuel / ASM (USD cents)</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10.4</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9.9</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5.9</w:t>
            </w:r>
          </w:p>
        </w:tc>
        <w:tc>
          <w:tcPr>
            <w:tcW w:w="34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9.3</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9.2</w:t>
            </w:r>
          </w:p>
        </w:tc>
        <w:tc>
          <w:tcPr>
            <w:tcW w:w="278"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1.7</w:t>
            </w:r>
          </w:p>
        </w:tc>
        <w:tc>
          <w:tcPr>
            <w:tcW w:w="5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0"/>
        <w:gridCol w:w="148"/>
        <w:gridCol w:w="60"/>
        <w:gridCol w:w="579"/>
        <w:gridCol w:w="60"/>
        <w:gridCol w:w="148"/>
        <w:gridCol w:w="60"/>
        <w:gridCol w:w="579"/>
        <w:gridCol w:w="60"/>
        <w:gridCol w:w="148"/>
        <w:gridCol w:w="81"/>
        <w:gridCol w:w="749"/>
        <w:gridCol w:w="351"/>
        <w:gridCol w:w="96"/>
        <w:gridCol w:w="60"/>
        <w:gridCol w:w="579"/>
        <w:gridCol w:w="60"/>
        <w:gridCol w:w="148"/>
        <w:gridCol w:w="59"/>
        <w:gridCol w:w="579"/>
        <w:gridCol w:w="60"/>
        <w:gridCol w:w="148"/>
        <w:gridCol w:w="81"/>
        <w:gridCol w:w="749"/>
        <w:gridCol w:w="363"/>
      </w:tblGrid>
      <w:tr>
        <w:trPr/>
        <w:tc>
          <w:tcPr>
            <w:tcW w:w="420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Other Indicators</w:t>
            </w:r>
          </w:p>
        </w:tc>
        <w:tc>
          <w:tcPr>
            <w:tcW w:w="148" w:type="dxa"/>
            <w:tcBorders/>
            <w:vAlign w:val="bottom"/>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63"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Fuel cost per liter (USD cents)</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4.0</w:t>
            </w:r>
          </w:p>
        </w:tc>
        <w:tc>
          <w:tcPr>
            <w:tcW w:w="3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(7.6</w:t>
            </w:r>
          </w:p>
        </w:tc>
        <w:tc>
          <w:tcPr>
            <w:tcW w:w="363"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FX close(3)</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17.97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(11.4</w:t>
            </w:r>
          </w:p>
        </w:tc>
        <w:tc>
          <w:tcPr>
            <w:tcW w:w="3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17.97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(11.4</w:t>
            </w:r>
          </w:p>
        </w:tc>
        <w:tc>
          <w:tcPr>
            <w:tcW w:w="363"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average(3)</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18.33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20.03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(8.5</w:t>
            </w:r>
          </w:p>
        </w:tc>
        <w:tc>
          <w:tcPr>
            <w:tcW w:w="3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18.27</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5.5</w:t>
            </w:r>
          </w:p>
        </w:tc>
        <w:tc>
          <w:tcPr>
            <w:tcW w:w="3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EBITDAR and Adjusted EBITDAR margin are non-IFRS measures and have limitations as analytical tools, and you should not consider them in isolation, or as a substitute for analysis of the Company’s results as reported under IFRS. See Annex A for the definition of Aeroméxico’s non-IFRS measures and a reconciliation to the nearest IFRS measure.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as passenger revenues (excluding ancillaries) divided by total RPMs.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Company with information from Banxico.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on Non-IFRS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disclosing financial results prepared in accordance with IFRS, the Company discloses information regarding Adjusted EBITDAR, Adjusted EBITDAR Margin, Adjusted Net Debt and Adjusted Net Debt to Adjusted EBITDAR Ratio, which are non-IFRS measures. The Company also has disclosed in this press release revenue, operating income, operating margin, Adjusted EBITDAR and Adjusted EBITDAR Margin as incrementally adjusted by certain extraordinary, non-recurrent items adjustments from 2024 and 2025, which are additional non-IFRS financial measures. The Company believes all of these financial reporting measures to be useful indicators of its operational performance. These known performance measurements in the aviation industry are frequently used by investors, stock analysts and others who are interested in comparing the operational performance of companies in its industry.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Adjusted EBITDAR as profit or loss for the period before income tax expense (benefit), depreciation and amortization, net finance cost, and impairment (reversal), before aircraft leasing expense, in light of the non-recurring nature of this item. The Company considers Adjusted EBITDAR to be solely a valuation metric, not a performance metric. The Company defines Adjusted EBITDAR Margin as Adjusted EBITDAR divided by total revenue for the period. The Company defines Adjusted Net Debt as total loan and borrowings, including leases, minus cash and cash equivalents. The Company defines Adjusted Net Debt to Adjusted EBITDAR Ratio as Adjusted Net Debt Ratio divided by Adjusted EBITDAR for the period. </w:t>
      </w:r>
    </w:p>
    <w:p>
      <w:pPr>
        <w:pStyle w:val="TextBody"/>
        <w:bidi w:val="0"/>
        <w:spacing w:before="240" w:after="0"/>
        <w:jc w:val="left"/>
        <w:rPr>
          <w:rFonts w:ascii="Times New Roman" w:hAnsi="Times New Roman"/>
          <w:sz w:val="20"/>
        </w:rPr>
      </w:pPr>
      <w:r>
        <w:rPr>
          <w:rFonts w:ascii="Times New Roman" w:hAnsi="Times New Roman"/>
          <w:sz w:val="20"/>
        </w:rPr>
        <w:t xml:space="preserve">To obtain “Normalized” figures, the Company includes adjustments to reflect other extraordinary, non-recurrent items that have also impacted our results of operations during the periods under discussion. For the three months ended December 31, 2025, we recognized extraordinary income of $71.1 million from the sale of TechOps and non-capitalized administrative expenses of $4.3 million related to our Initial Public Offering (IPO) recorded in 2025 and in the three months ended December 31, 2024, we recognized $45.2 million of extraordinary favorable effects within operating income and $44.5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initiatives recorded in 2024. In 2025, we recognized $71.1 million of extraordinary income from the sale of TechOps and non-capitalized administrative expenses of $4.3 million related to our Initial Public Offering (IPO) and in 2024, we recognized $165.8 million of extraordinary favorable effects within operating income and $160.3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w:t>
      </w:r>
    </w:p>
    <w:p>
      <w:pPr>
        <w:pStyle w:val="TextBody"/>
        <w:bidi w:val="0"/>
        <w:spacing w:before="240" w:after="0"/>
        <w:jc w:val="left"/>
        <w:rPr>
          <w:rFonts w:ascii="Times New Roman" w:hAnsi="Times New Roman"/>
          <w:sz w:val="20"/>
        </w:rPr>
      </w:pPr>
      <w:r>
        <w:rPr>
          <w:rFonts w:ascii="Times New Roman" w:hAnsi="Times New Roman"/>
          <w:sz w:val="20"/>
        </w:rPr>
        <w:t xml:space="preserve">All of the above-mentioned non-IFRS financial measures have limitations as analytical tools, and you should not consider them in isolation, or as a substitute for analysis of the Company’s results as reported under IFRS. Some of these limitations are: (i) they do not reflect the Company’s cash expenditures, or future requirements for capital expenditures or contractual commitments; (ii) they do not reflect changes in, or cash requirements for, its working capital needs; (iii) they do not reflect the Company’s cash requirements necessary to service interest or principal payments on the Company’s debt; (iv) although depreciation and amortization are non-cash charges, the assets being depreciated and amortized will often have to be replaced in the future, and they do not reflect any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requirements for such replacements; (v) they do not adjust for all non-cash income or expense items that are reflected in the Company’s consolidated statements of profit or loss and other comprehensive income; (vi) they do not reflect the impact of all non-recurring items; and (vii) other companies in the Company’s industry may calculate these measures, or similarly titled measures, differently than the Company does, limiting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Reconciliations of each of these historical measures, and to the extent applicable, forward-looking measures to the most directly comparable IFRS measure are below. No reconciliation of the forecasted amounts of Adjusted EBITDAR, as incrementally adjusted, and Revenue, as incrementally adjusted, for fiscal 2025 is included in this release because we are unable to quantify certain amounts that would be required to be included in the corresponding IFRS measure without unreasonable efforts, due to high variability and complexity with respect to estimating certain forward-looking amounts, and we believe such reconciliation would imply a degree of precision that would be confusing or misleading to investors.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7"/>
        <w:gridCol w:w="134"/>
        <w:gridCol w:w="60"/>
        <w:gridCol w:w="569"/>
        <w:gridCol w:w="60"/>
        <w:gridCol w:w="134"/>
        <w:gridCol w:w="60"/>
        <w:gridCol w:w="569"/>
        <w:gridCol w:w="60"/>
        <w:gridCol w:w="134"/>
        <w:gridCol w:w="107"/>
        <w:gridCol w:w="680"/>
        <w:gridCol w:w="280"/>
        <w:gridCol w:w="78"/>
        <w:gridCol w:w="60"/>
        <w:gridCol w:w="569"/>
        <w:gridCol w:w="60"/>
        <w:gridCol w:w="134"/>
        <w:gridCol w:w="59"/>
        <w:gridCol w:w="569"/>
        <w:gridCol w:w="60"/>
        <w:gridCol w:w="134"/>
        <w:gridCol w:w="103"/>
        <w:gridCol w:w="684"/>
        <w:gridCol w:w="361"/>
      </w:tblGrid>
      <w:tr>
        <w:trPr/>
        <w:tc>
          <w:tcPr>
            <w:tcW w:w="448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48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4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361" w:type="dxa"/>
            <w:tcBorders/>
            <w:vAlign w:val="bottom"/>
          </w:tcPr>
          <w:p>
            <w:pPr>
              <w:pStyle w:val="TableContents"/>
              <w:bidi w:val="0"/>
              <w:spacing w:before="0" w:after="283"/>
              <w:jc w:val="left"/>
              <w:rPr/>
            </w:pPr>
            <w:r>
              <w:rPr/>
              <w:t> </w:t>
            </w:r>
          </w:p>
        </w:tc>
      </w:tr>
      <w:tr>
        <w:trPr/>
        <w:tc>
          <w:tcPr>
            <w:tcW w:w="44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Normalized Total Revenue Reconciliation</w:t>
            </w:r>
          </w:p>
        </w:tc>
        <w:tc>
          <w:tcPr>
            <w:tcW w:w="134"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61"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1,438</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1,435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5,361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5,620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(4.6</w:t>
            </w:r>
          </w:p>
        </w:tc>
        <w:tc>
          <w:tcPr>
            <w:tcW w:w="361"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 Extraordinary, non-recurrent ítems(1)</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NA</w:t>
            </w:r>
          </w:p>
        </w:tc>
        <w:tc>
          <w:tcPr>
            <w:tcW w:w="361"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Normalized Total Revenue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1,438</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1,391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5,361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5,467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(1.9</w:t>
            </w:r>
          </w:p>
        </w:tc>
        <w:tc>
          <w:tcPr>
            <w:tcW w:w="3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1)</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2024 extraordinary, non-recurrent items consist of favorable effects comprising (i) compensation from Boeing for financial damages related to the Boeing 737 MAX grounding, and (ii) estimated breakage from unused tickets resulting from the extension of ticket usage rules introduced under prior years’ commercial flexibility initiatives.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2"/>
        <w:gridCol w:w="140"/>
        <w:gridCol w:w="76"/>
        <w:gridCol w:w="485"/>
        <w:gridCol w:w="60"/>
        <w:gridCol w:w="140"/>
        <w:gridCol w:w="76"/>
        <w:gridCol w:w="485"/>
        <w:gridCol w:w="60"/>
        <w:gridCol w:w="140"/>
        <w:gridCol w:w="75"/>
        <w:gridCol w:w="726"/>
        <w:gridCol w:w="329"/>
        <w:gridCol w:w="83"/>
        <w:gridCol w:w="60"/>
        <w:gridCol w:w="584"/>
        <w:gridCol w:w="60"/>
        <w:gridCol w:w="140"/>
        <w:gridCol w:w="60"/>
        <w:gridCol w:w="584"/>
        <w:gridCol w:w="60"/>
        <w:gridCol w:w="140"/>
        <w:gridCol w:w="81"/>
        <w:gridCol w:w="719"/>
        <w:gridCol w:w="410"/>
      </w:tblGrid>
      <w:tr>
        <w:trPr/>
        <w:tc>
          <w:tcPr>
            <w:tcW w:w="443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410"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EBITDAR Reconciliation</w:t>
            </w:r>
          </w:p>
        </w:tc>
        <w:tc>
          <w:tcPr>
            <w:tcW w:w="140"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410"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 (loss) for the period</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119.1</w:t>
            </w:r>
          </w:p>
        </w:tc>
        <w:tc>
          <w:tcPr>
            <w:tcW w:w="32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617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(43.0</w:t>
            </w:r>
          </w:p>
        </w:tc>
        <w:tc>
          <w:tcPr>
            <w:tcW w:w="410"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 Income tax expense (benefit)</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517.5</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(22.1</w:t>
            </w:r>
          </w:p>
        </w:tc>
        <w:tc>
          <w:tcPr>
            <w:tcW w:w="410"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 (1)</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4.9</w:t>
            </w:r>
          </w:p>
        </w:tc>
        <w:tc>
          <w:tcPr>
            <w:tcW w:w="32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730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655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11.5</w:t>
            </w:r>
          </w:p>
        </w:tc>
        <w:tc>
          <w:tcPr>
            <w:tcW w:w="410"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 Net finance cost</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-31.5</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514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39.1</w:t>
            </w:r>
          </w:p>
        </w:tc>
        <w:tc>
          <w:tcPr>
            <w:tcW w:w="410"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Impairment (reversal)</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NA</w:t>
            </w:r>
          </w:p>
        </w:tc>
        <w:tc>
          <w:tcPr>
            <w:tcW w:w="32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NA</w:t>
            </w:r>
          </w:p>
        </w:tc>
        <w:tc>
          <w:tcPr>
            <w:tcW w:w="410"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 Aircraft leasing (2)</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5.9</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9.1</w:t>
            </w:r>
          </w:p>
        </w:tc>
        <w:tc>
          <w:tcPr>
            <w:tcW w:w="410"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EBITDAR (3)</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b/>
              </w:rPr>
            </w:pPr>
            <w:r>
              <w:rPr>
                <w:b/>
              </w:rPr>
              <w:t>502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b/>
              </w:rPr>
            </w:pPr>
            <w:r>
              <w:rPr>
                <w:b/>
              </w:rPr>
              <w:t>446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b/>
              </w:rPr>
            </w:pPr>
            <w:r>
              <w:rPr>
                <w:b/>
              </w:rPr>
              <w:t>12.5</w:t>
            </w:r>
          </w:p>
        </w:tc>
        <w:tc>
          <w:tcPr>
            <w:tcW w:w="329"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1,672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1,738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b/>
              </w:rPr>
            </w:pPr>
            <w:r>
              <w:rPr>
                <w:b/>
              </w:rPr>
              <w:t>(3.8</w:t>
            </w:r>
          </w:p>
        </w:tc>
        <w:tc>
          <w:tcPr>
            <w:tcW w:w="410" w:type="dxa"/>
            <w:tcBorders/>
            <w:shd w:fill="CCEEFF" w:val="clear"/>
            <w:vAlign w:val="bottom"/>
          </w:tcPr>
          <w:p>
            <w:pPr>
              <w:pStyle w:val="TableContents"/>
              <w:bidi w:val="0"/>
              <w:spacing w:before="0" w:after="283"/>
              <w:jc w:val="left"/>
              <w:rPr>
                <w:b/>
              </w:rPr>
            </w:pPr>
            <w:r>
              <w:rPr>
                <w:b/>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 Extraordinary ítems (4)</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NA</w:t>
            </w:r>
          </w:p>
        </w:tc>
        <w:tc>
          <w:tcPr>
            <w:tcW w:w="32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NA</w:t>
            </w:r>
          </w:p>
        </w:tc>
        <w:tc>
          <w:tcPr>
            <w:tcW w:w="410"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Normalized Adjusted EBITDAR (3)</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b/>
              </w:rPr>
            </w:pPr>
            <w:r>
              <w:rPr>
                <w:b/>
              </w:rPr>
              <w:t>435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b/>
              </w:rPr>
            </w:pPr>
            <w:r>
              <w:rPr>
                <w:b/>
              </w:rPr>
              <w:t>402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b/>
              </w:rPr>
            </w:pPr>
            <w:r>
              <w:rPr>
                <w:b/>
              </w:rPr>
              <w:t>8.3</w:t>
            </w:r>
          </w:p>
        </w:tc>
        <w:tc>
          <w:tcPr>
            <w:tcW w:w="329"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1,606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1,578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b/>
              </w:rPr>
            </w:pPr>
            <w:r>
              <w:rPr>
                <w:b/>
              </w:rPr>
              <w:t>1.8</w:t>
            </w:r>
          </w:p>
        </w:tc>
        <w:tc>
          <w:tcPr>
            <w:tcW w:w="410"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03"/>
        <w:gridCol w:w="3097"/>
        <w:gridCol w:w="103"/>
        <w:gridCol w:w="3970"/>
      </w:tblGrid>
      <w:tr>
        <w:trPr/>
        <w:tc>
          <w:tcPr>
            <w:tcW w:w="293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3097" w:type="dxa"/>
            <w:tcBorders/>
            <w:vAlign w:val="center"/>
          </w:tcPr>
          <w:p>
            <w:pPr>
              <w:pStyle w:val="TableContents"/>
              <w:bidi w:val="0"/>
              <w:spacing w:before="0" w:after="283"/>
              <w:jc w:val="right"/>
              <w:rPr/>
            </w:pPr>
            <w:r>
              <w:rPr>
                <w:b/>
              </w:rPr>
              <w:t>4Q25 &amp; FY25</w:t>
            </w:r>
            <w:r>
              <w:rPr/>
              <w:t xml:space="preserve"> </w:t>
            </w:r>
            <w:r>
              <w:rPr>
                <w:b/>
              </w:rPr>
              <w:t>RESULTS</w:t>
            </w:r>
          </w:p>
        </w:tc>
        <w:tc>
          <w:tcPr>
            <w:tcW w:w="103" w:type="dxa"/>
            <w:tcBorders/>
            <w:vAlign w:val="bottom"/>
          </w:tcPr>
          <w:p>
            <w:pPr>
              <w:pStyle w:val="TableContents"/>
              <w:bidi w:val="0"/>
              <w:spacing w:before="0" w:after="283"/>
              <w:jc w:val="left"/>
              <w:rPr/>
            </w:pPr>
            <w:r>
              <w:rPr/>
              <w:t> </w:t>
            </w:r>
          </w:p>
        </w:tc>
        <w:tc>
          <w:tcPr>
            <w:tcW w:w="3970" w:type="dxa"/>
            <w:tcBorders/>
          </w:tcPr>
          <w:p>
            <w:pPr>
              <w:pStyle w:val="TableContents"/>
              <w:bidi w:val="0"/>
              <w:spacing w:before="0" w:after="283"/>
              <w:jc w:val="right"/>
              <w:rPr/>
            </w:pPr>
            <w:r>
              <w:rPr/>
              <w:drawing>
                <wp:inline distT="0" distB="0" distL="0" distR="0">
                  <wp:extent cx="2486025" cy="5429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9"/>
        <w:gridCol w:w="132"/>
        <w:gridCol w:w="76"/>
        <w:gridCol w:w="484"/>
        <w:gridCol w:w="60"/>
        <w:gridCol w:w="132"/>
        <w:gridCol w:w="76"/>
        <w:gridCol w:w="484"/>
        <w:gridCol w:w="60"/>
        <w:gridCol w:w="132"/>
        <w:gridCol w:w="94"/>
        <w:gridCol w:w="700"/>
        <w:gridCol w:w="325"/>
        <w:gridCol w:w="74"/>
        <w:gridCol w:w="70"/>
        <w:gridCol w:w="432"/>
        <w:gridCol w:w="60"/>
        <w:gridCol w:w="131"/>
        <w:gridCol w:w="60"/>
        <w:gridCol w:w="573"/>
        <w:gridCol w:w="60"/>
        <w:gridCol w:w="132"/>
        <w:gridCol w:w="81"/>
        <w:gridCol w:w="713"/>
        <w:gridCol w:w="405"/>
      </w:tblGrid>
      <w:tr>
        <w:trPr/>
        <w:tc>
          <w:tcPr>
            <w:tcW w:w="465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65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32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3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405" w:type="dxa"/>
            <w:tcBorders/>
            <w:vAlign w:val="bottom"/>
          </w:tcPr>
          <w:p>
            <w:pPr>
              <w:pStyle w:val="TableContents"/>
              <w:bidi w:val="0"/>
              <w:spacing w:before="0" w:after="283"/>
              <w:jc w:val="left"/>
              <w:rPr/>
            </w:pPr>
            <w:r>
              <w:rPr/>
              <w:t> </w:t>
            </w:r>
          </w:p>
        </w:tc>
      </w:tr>
      <w:tr>
        <w:trPr/>
        <w:tc>
          <w:tcPr>
            <w:tcW w:w="46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Total Operating Income Reconciliation</w:t>
            </w:r>
          </w:p>
        </w:tc>
        <w:tc>
          <w:tcPr>
            <w:tcW w:w="132"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4Q25</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4Q24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32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Var. %</w:t>
            </w:r>
          </w:p>
        </w:tc>
        <w:tc>
          <w:tcPr>
            <w:tcW w:w="405" w:type="dxa"/>
            <w:tcBorders/>
            <w:vAlign w:val="bottom"/>
          </w:tcPr>
          <w:p>
            <w:pPr>
              <w:pStyle w:val="TableContents"/>
              <w:bidi w:val="0"/>
              <w:spacing w:before="0" w:after="283"/>
              <w:jc w:val="left"/>
              <w:rPr/>
            </w:pPr>
            <w:r>
              <w:rPr/>
              <w:t> </w:t>
            </w:r>
          </w:p>
        </w:tc>
      </w:tr>
      <w:tr>
        <w:trPr/>
        <w:tc>
          <w:tcPr>
            <w:tcW w:w="46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income (USD millions)</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303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257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18.0</w:t>
            </w:r>
          </w:p>
        </w:tc>
        <w:tc>
          <w:tcPr>
            <w:tcW w:w="32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b/>
              </w:rPr>
            </w:pPr>
            <w:r>
              <w:rPr>
                <w:b/>
              </w:rPr>
              <w:t>928</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1,067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(13.0</w:t>
            </w:r>
          </w:p>
        </w:tc>
        <w:tc>
          <w:tcPr>
            <w:tcW w:w="405" w:type="dxa"/>
            <w:tcBorders/>
            <w:shd w:fill="CCEEFF" w:val="clear"/>
            <w:vAlign w:val="bottom"/>
          </w:tcPr>
          <w:p>
            <w:pPr>
              <w:pStyle w:val="TableContents"/>
              <w:bidi w:val="0"/>
              <w:spacing w:before="0" w:after="283"/>
              <w:jc w:val="left"/>
              <w:rPr>
                <w:b/>
              </w:rPr>
            </w:pPr>
            <w:r>
              <w:rPr>
                <w:b/>
              </w:rPr>
              <w:t>)% </w:t>
            </w:r>
          </w:p>
        </w:tc>
      </w:tr>
      <w:tr>
        <w:trPr/>
        <w:tc>
          <w:tcPr>
            <w:tcW w:w="4659" w:type="dxa"/>
            <w:tcBorders/>
          </w:tcPr>
          <w:p>
            <w:pPr>
              <w:pStyle w:val="TableContents"/>
              <w:bidi w:val="0"/>
              <w:spacing w:before="0" w:after="0"/>
              <w:jc w:val="left"/>
              <w:rPr>
                <w:rFonts w:ascii="Times New Roman" w:hAnsi="Times New Roman"/>
                <w:sz w:val="20"/>
              </w:rPr>
            </w:pPr>
            <w:r>
              <w:rPr>
                <w:rFonts w:ascii="Times New Roman" w:hAnsi="Times New Roman"/>
                <w:sz w:val="20"/>
              </w:rPr>
              <w:t>(-) Extraordinary items (4)</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NA</w:t>
            </w:r>
          </w:p>
        </w:tc>
        <w:tc>
          <w:tcPr>
            <w:tcW w:w="32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w:t>
            </w:r>
          </w:p>
        </w:tc>
        <w:tc>
          <w:tcPr>
            <w:tcW w:w="405" w:type="dxa"/>
            <w:tcBorders/>
            <w:vAlign w:val="bottom"/>
          </w:tcPr>
          <w:p>
            <w:pPr>
              <w:pStyle w:val="TableContents"/>
              <w:bidi w:val="0"/>
              <w:spacing w:before="0" w:after="283"/>
              <w:jc w:val="left"/>
              <w:rPr/>
            </w:pPr>
            <w:r>
              <w:rPr/>
              <w:t> </w:t>
            </w:r>
          </w:p>
        </w:tc>
      </w:tr>
      <w:tr>
        <w:trPr/>
        <w:tc>
          <w:tcPr>
            <w:tcW w:w="46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Normalized Total operating income (USD millions) (3)</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236</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212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11.6</w:t>
            </w:r>
          </w:p>
        </w:tc>
        <w:tc>
          <w:tcPr>
            <w:tcW w:w="32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b/>
              </w:rPr>
            </w:pPr>
            <w:r>
              <w:rPr>
                <w:b/>
              </w:rPr>
              <w:t>861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901</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(4.4</w:t>
            </w:r>
          </w:p>
        </w:tc>
        <w:tc>
          <w:tcPr>
            <w:tcW w:w="405"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Depreciation and amortization expense as presented in our profit or loss.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Aircraft leasing is comprised of short-term rentals of flight equipment, including subject to PBH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3)</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EBITDAR and Normalized Adjusted EBITDAR are non-IFRS measures and have limitations as analytical tools, and you should not consider them in isolation, or as a substitute for analysis of the Company’s results as reported under IFRS.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4)</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Extraordinary, non-recurrent items consist of adjustments related to extraordinary income from the sale of TechOps and non-capitalized administrative expenses related to our Initial Public Offering (IPO) recorded in 2025, and extraordinary favorable effects within operating income and Adjusted EBITDAR, comprising (i) compensation from Boeing for financial damages related to the Boeing 737 MAX grounding, and (ii) estimated breakage from unused tickets resulting from the extension of ticket usage rules introduced under prior years’ commercial flexibility initiatives recorded in 2024.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4"/>
        <w:gridCol w:w="278"/>
        <w:gridCol w:w="189"/>
        <w:gridCol w:w="1766"/>
        <w:gridCol w:w="60"/>
        <w:gridCol w:w="278"/>
        <w:gridCol w:w="189"/>
        <w:gridCol w:w="1766"/>
        <w:gridCol w:w="65"/>
      </w:tblGrid>
      <w:tr>
        <w:trPr/>
        <w:tc>
          <w:tcPr>
            <w:tcW w:w="3164"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Net Debt Reconciliation</w:t>
            </w:r>
          </w:p>
        </w:tc>
        <w:tc>
          <w:tcPr>
            <w:tcW w:w="278"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loans and borrowings, including leases</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4,055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3,701</w:t>
            </w:r>
          </w:p>
        </w:tc>
        <w:tc>
          <w:tcPr>
            <w:tcW w:w="65" w:type="dxa"/>
            <w:tcBorders/>
            <w:shd w:fill="CCEEFF" w:val="clear"/>
            <w:vAlign w:val="bottom"/>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 Cash and cash equivalents</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1,024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842</w:t>
            </w:r>
          </w:p>
        </w:tc>
        <w:tc>
          <w:tcPr>
            <w:tcW w:w="6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Adjusted Net Debt (1)</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b/>
              </w:rPr>
            </w:pPr>
            <w:r>
              <w:rPr>
                <w:b/>
              </w:rPr>
              <w:t>3,031</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b/>
              </w:rPr>
            </w:pPr>
            <w:r>
              <w:rPr>
                <w:b/>
              </w:rPr>
              <w:t>2,859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is a non-IFRS measures and has limitations as analytical tools, and you should not consider it in isolation, or as a substitute for analysis of the Company’s results as reported under IFRS. </w:t>
            </w:r>
          </w:p>
        </w:tc>
      </w:tr>
    </w:tbl>
    <w:p>
      <w:pPr>
        <w:pStyle w:val="TextBody"/>
        <w:bidi w:val="0"/>
        <w:spacing w:before="0" w:after="0"/>
        <w:jc w:val="left"/>
        <w:rPr/>
      </w:pPr>
      <w:r>
        <w:rPr/>
        <w:t> </w:t>
      </w:r>
    </w:p>
    <w:tbl>
      <w:tblPr>
        <w:tblW w:w="8125" w:type="dxa"/>
        <w:jc w:val="center"/>
        <w:tblInd w:w="0" w:type="dxa"/>
        <w:tblLayout w:type="fixed"/>
        <w:tblCellMar>
          <w:top w:w="0" w:type="dxa"/>
          <w:left w:w="0" w:type="dxa"/>
          <w:bottom w:w="0" w:type="dxa"/>
          <w:right w:w="0" w:type="dxa"/>
        </w:tblCellMar>
      </w:tblPr>
      <w:tblGrid>
        <w:gridCol w:w="3575"/>
        <w:gridCol w:w="120"/>
        <w:gridCol w:w="189"/>
        <w:gridCol w:w="1766"/>
        <w:gridCol w:w="200"/>
        <w:gridCol w:w="120"/>
        <w:gridCol w:w="189"/>
        <w:gridCol w:w="1766"/>
        <w:gridCol w:w="200"/>
      </w:tblGrid>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57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Leverage Ratio Reconciliation (Adjusted Net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Debt / Last Twelve Months Adjusted EBITDAR)</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00" w:type="dxa"/>
            <w:tcBorders/>
            <w:vAlign w:val="bottom"/>
          </w:tcPr>
          <w:p>
            <w:pPr>
              <w:pStyle w:val="TableContents"/>
              <w:bidi w:val="0"/>
              <w:spacing w:before="0" w:after="283"/>
              <w:jc w:val="left"/>
              <w:rPr/>
            </w:pPr>
            <w:r>
              <w:rPr/>
              <w:t> </w:t>
            </w:r>
          </w:p>
        </w:tc>
      </w:tr>
      <w:tr>
        <w:trPr/>
        <w:tc>
          <w:tcPr>
            <w:tcW w:w="3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Debt (1)</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3,031</w:t>
            </w:r>
          </w:p>
        </w:tc>
        <w:tc>
          <w:tcPr>
            <w:tcW w:w="20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2,859</w:t>
            </w:r>
          </w:p>
        </w:tc>
        <w:tc>
          <w:tcPr>
            <w:tcW w:w="200" w:type="dxa"/>
            <w:tcBorders/>
            <w:shd w:fill="CCEEFF" w:val="clear"/>
            <w:vAlign w:val="bottom"/>
          </w:tcPr>
          <w:p>
            <w:pPr>
              <w:pStyle w:val="TableContents"/>
              <w:bidi w:val="0"/>
              <w:spacing w:before="0" w:after="283"/>
              <w:jc w:val="left"/>
              <w:rPr/>
            </w:pPr>
            <w:r>
              <w:rPr/>
              <w:t> </w:t>
            </w:r>
          </w:p>
        </w:tc>
      </w:tr>
      <w:tr>
        <w:trPr/>
        <w:tc>
          <w:tcPr>
            <w:tcW w:w="3575" w:type="dxa"/>
            <w:tcBorders/>
          </w:tcPr>
          <w:p>
            <w:pPr>
              <w:pStyle w:val="TableContents"/>
              <w:bidi w:val="0"/>
              <w:spacing w:before="0" w:after="0"/>
              <w:jc w:val="left"/>
              <w:rPr>
                <w:rFonts w:ascii="Times New Roman" w:hAnsi="Times New Roman"/>
                <w:sz w:val="20"/>
              </w:rPr>
            </w:pPr>
            <w:r>
              <w:rPr>
                <w:rFonts w:ascii="Times New Roman" w:hAnsi="Times New Roman"/>
                <w:sz w:val="20"/>
              </w:rPr>
              <w:t>Last Twelve Months Adjusted EBITDAR (1)</w:t>
            </w:r>
          </w:p>
        </w:tc>
        <w:tc>
          <w:tcPr>
            <w:tcW w:w="1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1,672</w:t>
            </w:r>
          </w:p>
        </w:tc>
        <w:tc>
          <w:tcPr>
            <w:tcW w:w="2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1,738</w:t>
            </w:r>
          </w:p>
        </w:tc>
        <w:tc>
          <w:tcPr>
            <w:tcW w:w="200" w:type="dxa"/>
            <w:tcBorders/>
            <w:vAlign w:val="bottom"/>
          </w:tcPr>
          <w:p>
            <w:pPr>
              <w:pStyle w:val="TableContents"/>
              <w:bidi w:val="0"/>
              <w:spacing w:before="0" w:after="283"/>
              <w:jc w:val="left"/>
              <w:rPr/>
            </w:pPr>
            <w:r>
              <w:rPr/>
              <w:t> </w:t>
            </w:r>
          </w:p>
        </w:tc>
      </w:tr>
      <w:tr>
        <w:trPr/>
        <w:tc>
          <w:tcPr>
            <w:tcW w:w="35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Net Leverage Ratio (1)</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b/>
              </w:rPr>
            </w:pPr>
            <w:r>
              <w:rPr>
                <w:b/>
              </w:rPr>
              <w:t>1.8</w:t>
            </w:r>
          </w:p>
        </w:tc>
        <w:tc>
          <w:tcPr>
            <w:tcW w:w="200" w:type="dxa"/>
            <w:tcBorders/>
            <w:shd w:fill="CCEEFF" w:val="clear"/>
            <w:vAlign w:val="bottom"/>
          </w:tcPr>
          <w:p>
            <w:pPr>
              <w:pStyle w:val="TableContents"/>
              <w:bidi w:val="0"/>
              <w:spacing w:before="0" w:after="283"/>
              <w:jc w:val="left"/>
              <w:rPr>
                <w:b/>
              </w:rPr>
            </w:pPr>
            <w:r>
              <w:rPr>
                <w:b/>
              </w:rPr>
              <w:t>x </w:t>
            </w:r>
          </w:p>
        </w:tc>
        <w:tc>
          <w:tcPr>
            <w:tcW w:w="1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b/>
              </w:rPr>
            </w:pPr>
            <w:r>
              <w:rPr>
                <w:b/>
              </w:rPr>
              <w:t>1.6</w:t>
            </w:r>
          </w:p>
        </w:tc>
        <w:tc>
          <w:tcPr>
            <w:tcW w:w="200" w:type="dxa"/>
            <w:tcBorders/>
            <w:shd w:fill="CCEEFF" w:val="clear"/>
            <w:vAlign w:val="bottom"/>
          </w:tcPr>
          <w:p>
            <w:pPr>
              <w:pStyle w:val="TableContents"/>
              <w:bidi w:val="0"/>
              <w:spacing w:before="0" w:after="283"/>
              <w:jc w:val="left"/>
              <w:rPr>
                <w:b/>
              </w:rPr>
            </w:pPr>
            <w:r>
              <w:rPr>
                <w:b/>
              </w:rPr>
              <w:t>x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Adjusted Net Debt, Adjusted EBITDAR and Net Leverage Ratio are non-IFRS measures and have limitations as analytical tools, and you should not consider them in isolation, or as a substitute for analysis of the Company’s results as reported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9"/>
        <w:gridCol w:w="120"/>
        <w:gridCol w:w="933"/>
        <w:gridCol w:w="120"/>
        <w:gridCol w:w="8213"/>
      </w:tblGrid>
      <w:tr>
        <w:trPr/>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r>
      <w:tr>
        <w:trPr/>
        <w:tc>
          <w:tcPr>
            <w:tcW w:w="819" w:type="dxa"/>
            <w:tcBorders/>
          </w:tcPr>
          <w:p>
            <w:pPr>
              <w:pStyle w:val="TableContents"/>
              <w:bidi w:val="0"/>
              <w:spacing w:before="0" w:after="283"/>
              <w:jc w:val="left"/>
              <w:rPr/>
            </w:pPr>
            <w:r>
              <w:rPr/>
              <w:drawing>
                <wp:inline distT="0" distB="0" distL="0" distR="0">
                  <wp:extent cx="504825" cy="552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4825" cy="5524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933" w:type="dxa"/>
            <w:tcBorders/>
          </w:tcPr>
          <w:p>
            <w:pPr>
              <w:pStyle w:val="TableContents"/>
              <w:bidi w:val="0"/>
              <w:spacing w:before="0" w:after="283"/>
              <w:jc w:val="left"/>
              <w:rPr/>
            </w:pPr>
            <w:r>
              <w:rPr/>
              <w:drawing>
                <wp:inline distT="0" distB="0" distL="0" distR="0">
                  <wp:extent cx="571500" cy="6953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0" cy="695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center"/>
              <w:rPr/>
            </w:pPr>
            <w:r>
              <w:rPr/>
              <w:drawing>
                <wp:inline distT="0" distB="0" distL="0" distR="0">
                  <wp:extent cx="3800475" cy="82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800475" cy="8286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Aeroméxico November 2025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December 8, 2025 – Grupo Aeroméxico S.A.B. de C.V. (NYSE: AERO &amp; BMV: AERO) (“Aeroméxico”) reports its November 2025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1 million and 995 thousand passengers in November 2025, a 2.0% year-over-year decrease. International passengers decreased by 1.3%, while domestic passengers decreased by 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decreased by 4.0% year-over-year. International ASMs decreased by 4.7%, while domestic capacity decreased by 2.3%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decreased by 1.5% year-over-year. International demand decreased by 0.8%, while domestic demand decreased by 3.0%, both figures compared to November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November 2025 load factor was 87.5%, a 2.3 p.p. increase as compared to November 2024. International load factor increased by 3.6 p.p., and domestic load factor decreased by 0.6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“Aeroméxico recorded continued sequential improvement in November, driven by robust demand and sustained operational discipline. Year-to-date, the airline remains recognized as the world’s most punctual carrier in 2025. Notably, second-half load factors have reversed the softness seen earlier in the year. This inflection reflects a strengthening across key markets, including the U.S. As year-end approaches, these trends reinforce a favorable setup for the fourth quarter.”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79"/>
        <w:gridCol w:w="60"/>
        <w:gridCol w:w="563"/>
        <w:gridCol w:w="320"/>
        <w:gridCol w:w="122"/>
        <w:gridCol w:w="60"/>
        <w:gridCol w:w="563"/>
        <w:gridCol w:w="320"/>
        <w:gridCol w:w="122"/>
        <w:gridCol w:w="88"/>
        <w:gridCol w:w="607"/>
        <w:gridCol w:w="319"/>
        <w:gridCol w:w="122"/>
        <w:gridCol w:w="60"/>
        <w:gridCol w:w="710"/>
        <w:gridCol w:w="320"/>
        <w:gridCol w:w="122"/>
        <w:gridCol w:w="60"/>
        <w:gridCol w:w="710"/>
        <w:gridCol w:w="320"/>
        <w:gridCol w:w="122"/>
        <w:gridCol w:w="88"/>
        <w:gridCol w:w="607"/>
        <w:gridCol w:w="329"/>
      </w:tblGrid>
      <w:tr>
        <w:trPr/>
        <w:tc>
          <w:tcPr>
            <w:tcW w:w="331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825" w:type="dxa"/>
            <w:gridSpan w:val="10"/>
            <w:tcBorders/>
            <w:vAlign w:val="bottom"/>
          </w:tcPr>
          <w:p>
            <w:pPr>
              <w:pStyle w:val="TableContents"/>
              <w:bidi w:val="0"/>
              <w:spacing w:before="0" w:after="283"/>
              <w:jc w:val="center"/>
              <w:rPr>
                <w:b/>
              </w:rPr>
            </w:pPr>
            <w:r>
              <w:rPr>
                <w:b/>
              </w:rPr>
              <w:t>November</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119" w:type="dxa"/>
            <w:gridSpan w:val="10"/>
            <w:tcBorders/>
            <w:vAlign w:val="bottom"/>
          </w:tcPr>
          <w:p>
            <w:pPr>
              <w:pStyle w:val="TableContents"/>
              <w:bidi w:val="0"/>
              <w:spacing w:before="0" w:after="283"/>
              <w:jc w:val="center"/>
              <w:rPr>
                <w:b/>
              </w:rPr>
            </w:pPr>
            <w:r>
              <w:rPr>
                <w:b/>
              </w:rPr>
              <w:t>Cumulative to November</w:t>
            </w:r>
          </w:p>
        </w:tc>
        <w:tc>
          <w:tcPr>
            <w:tcW w:w="329" w:type="dxa"/>
            <w:tcBorders/>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br/>
              <w:t>2024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br/>
              <w:t>2024</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1,346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1,378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-2.3</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14,820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15,757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-5.9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657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-1.3</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7,588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7,410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2.4</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1,995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2,034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-2.0</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22,408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23,167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-3.3</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871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892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-2.3</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9,791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10,444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-6.3</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1,900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1,994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-4.7</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22,925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22,098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3.7</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2,771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2,886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-4.0</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32,716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32,543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0.5</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750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773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-3.0</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8,347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8,960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-6.8</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1,675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1,688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-0.8</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19,714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19,239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2.5</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2,424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2,460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-1.5</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28,061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28,198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-0.5</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86.1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86.7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-0.6</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85.3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85.8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-0.5</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88.2</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84.6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3.6</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86.0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87.1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-1.0</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87.5</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85.3</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2.3</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85.8</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86.7</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-0.9</w:t>
            </w:r>
          </w:p>
        </w:tc>
        <w:tc>
          <w:tcPr>
            <w:tcW w:w="32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Figures may not sum to total due to rounding.</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Starting November 2025, the indicators are presented in miles. This change ensures consistency and comparability across the industry. Our monthly and year-to-date figures for 2024 also reflect this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898"/>
        <w:gridCol w:w="102"/>
        <w:gridCol w:w="3156"/>
        <w:gridCol w:w="102"/>
        <w:gridCol w:w="3947"/>
      </w:tblGrid>
      <w:tr>
        <w:trPr/>
        <w:tc>
          <w:tcPr>
            <w:tcW w:w="28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2898" w:type="dxa"/>
            <w:tcBorders/>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3156" w:type="dxa"/>
            <w:tcBorders/>
            <w:vAlign w:val="center"/>
          </w:tcPr>
          <w:p>
            <w:pPr>
              <w:pStyle w:val="TableContents"/>
              <w:bidi w:val="0"/>
              <w:spacing w:before="0" w:after="283"/>
              <w:jc w:val="right"/>
              <w:rPr>
                <w:b/>
              </w:rPr>
            </w:pPr>
            <w:r>
              <w:rPr>
                <w:b/>
              </w:rPr>
              <w:t>NOVEMBER 2025 TRAFFIC RESULTS</w:t>
            </w:r>
          </w:p>
        </w:tc>
        <w:tc>
          <w:tcPr>
            <w:tcW w:w="102" w:type="dxa"/>
            <w:tcBorders/>
            <w:vAlign w:val="bottom"/>
          </w:tcPr>
          <w:p>
            <w:pPr>
              <w:pStyle w:val="TableContents"/>
              <w:bidi w:val="0"/>
              <w:spacing w:before="0" w:after="283"/>
              <w:jc w:val="left"/>
              <w:rPr/>
            </w:pPr>
            <w:r>
              <w:rPr/>
              <w:t> </w:t>
            </w:r>
          </w:p>
        </w:tc>
        <w:tc>
          <w:tcPr>
            <w:tcW w:w="3947" w:type="dxa"/>
            <w:tcBorders/>
          </w:tcPr>
          <w:p>
            <w:pPr>
              <w:pStyle w:val="TableContents"/>
              <w:bidi w:val="0"/>
              <w:spacing w:before="0" w:after="283"/>
              <w:jc w:val="right"/>
              <w:rPr/>
            </w:pPr>
            <w:r>
              <w:rPr/>
              <w:drawing>
                <wp:inline distT="0" distB="0" distL="0" distR="0">
                  <wp:extent cx="2486025" cy="5429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9"/>
        <w:gridCol w:w="120"/>
        <w:gridCol w:w="933"/>
        <w:gridCol w:w="120"/>
        <w:gridCol w:w="8213"/>
      </w:tblGrid>
      <w:tr>
        <w:trPr/>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r>
      <w:tr>
        <w:trPr/>
        <w:tc>
          <w:tcPr>
            <w:tcW w:w="819" w:type="dxa"/>
            <w:tcBorders/>
          </w:tcPr>
          <w:p>
            <w:pPr>
              <w:pStyle w:val="TableContents"/>
              <w:bidi w:val="0"/>
              <w:spacing w:before="0" w:after="283"/>
              <w:jc w:val="left"/>
              <w:rPr/>
            </w:pPr>
            <w:r>
              <w:rPr/>
              <w:drawing>
                <wp:inline distT="0" distB="0" distL="0" distR="0">
                  <wp:extent cx="504825" cy="552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04825" cy="5524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933" w:type="dxa"/>
            <w:tcBorders/>
          </w:tcPr>
          <w:p>
            <w:pPr>
              <w:pStyle w:val="TableContents"/>
              <w:bidi w:val="0"/>
              <w:spacing w:before="0" w:after="283"/>
              <w:jc w:val="left"/>
              <w:rPr/>
            </w:pPr>
            <w:r>
              <w:rPr/>
              <w:drawing>
                <wp:inline distT="0" distB="0" distL="0" distR="0">
                  <wp:extent cx="571500" cy="6953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1500" cy="695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center"/>
              <w:rPr/>
            </w:pPr>
            <w:r>
              <w:rPr/>
              <w:drawing>
                <wp:inline distT="0" distB="0" distL="0" distR="0">
                  <wp:extent cx="3800475" cy="82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800475" cy="8286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Aeroméxico December 2025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January 6, 2026 – Grupo Aeroméxico S.A.B. de C.V. (NYSE: AERO &amp; BMV: AERO) (“Aeroméxico”) reports its December 2025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2 million and 180 thousand passengers in December 2025, a 0.4% year-over-year increase. International passengers increased by 2.7%, while domestic passengers decreased by 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decreased by 0.4% year-over-year. International ASMs increased by 0.1%, while domestic capacity decreased by 1.4%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1.3% year-over-year. International demand increased by 2.7%, while domestic demand decreased by 1.9%, both figures compared to December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December 2025 load factor was 87.1%, a 1.4 p.p. increase as compared to December 2024. International load factor increased by 2.2 p.p., and domestic load factor decreased by 0.5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“December traffic results confirmed the materialization of the recovery trend, supported by strong load factors driven by solid demand and sustained operational discipline. Market conditions improved progressively throughout the second half of the year, enabling us to close 2025 with strengthened momentum. In parallel, for the second consecutive year, Aeroméxico was recognized as the world’s most on-time airline in 2025. This performance underscores the consistency of our execution and reinforces our confidence heading into the year ahead.”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79"/>
        <w:gridCol w:w="60"/>
        <w:gridCol w:w="563"/>
        <w:gridCol w:w="320"/>
        <w:gridCol w:w="122"/>
        <w:gridCol w:w="60"/>
        <w:gridCol w:w="563"/>
        <w:gridCol w:w="320"/>
        <w:gridCol w:w="122"/>
        <w:gridCol w:w="88"/>
        <w:gridCol w:w="607"/>
        <w:gridCol w:w="319"/>
        <w:gridCol w:w="122"/>
        <w:gridCol w:w="60"/>
        <w:gridCol w:w="710"/>
        <w:gridCol w:w="320"/>
        <w:gridCol w:w="122"/>
        <w:gridCol w:w="60"/>
        <w:gridCol w:w="710"/>
        <w:gridCol w:w="320"/>
        <w:gridCol w:w="122"/>
        <w:gridCol w:w="88"/>
        <w:gridCol w:w="607"/>
        <w:gridCol w:w="329"/>
      </w:tblGrid>
      <w:tr>
        <w:trPr/>
        <w:tc>
          <w:tcPr>
            <w:tcW w:w="331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825" w:type="dxa"/>
            <w:gridSpan w:val="10"/>
            <w:tcBorders/>
            <w:vAlign w:val="bottom"/>
          </w:tcPr>
          <w:p>
            <w:pPr>
              <w:pStyle w:val="TableContents"/>
              <w:bidi w:val="0"/>
              <w:spacing w:before="0" w:after="283"/>
              <w:jc w:val="center"/>
              <w:rPr>
                <w:b/>
              </w:rPr>
            </w:pPr>
            <w:r>
              <w:rPr>
                <w:b/>
              </w:rPr>
              <w:t>December</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119" w:type="dxa"/>
            <w:gridSpan w:val="10"/>
            <w:tcBorders/>
            <w:vAlign w:val="bottom"/>
          </w:tcPr>
          <w:p>
            <w:pPr>
              <w:pStyle w:val="TableContents"/>
              <w:bidi w:val="0"/>
              <w:spacing w:before="0" w:after="283"/>
              <w:jc w:val="center"/>
              <w:rPr>
                <w:b/>
              </w:rPr>
            </w:pPr>
            <w:r>
              <w:rPr>
                <w:b/>
              </w:rPr>
              <w:t>Cumulative to December</w:t>
            </w:r>
          </w:p>
        </w:tc>
        <w:tc>
          <w:tcPr>
            <w:tcW w:w="329" w:type="dxa"/>
            <w:tcBorders/>
            <w:vAlign w:val="bottom"/>
          </w:tcPr>
          <w:p>
            <w:pPr>
              <w:pStyle w:val="TableContents"/>
              <w:bidi w:val="0"/>
              <w:spacing w:before="0" w:after="283"/>
              <w:jc w:val="left"/>
              <w:rPr/>
            </w:pPr>
            <w:r>
              <w:rPr/>
              <w:t> </w:t>
            </w:r>
          </w:p>
        </w:tc>
      </w:tr>
      <w:tr>
        <w:trPr/>
        <w:tc>
          <w:tcPr>
            <w:tcW w:w="331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br/>
              <w:t>2024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center"/>
              <w:rPr>
                <w:b/>
              </w:rPr>
            </w:pPr>
            <w:r>
              <w:rPr>
                <w:b/>
              </w:rPr>
              <w:t>Var vs</w:t>
              <w:br/>
              <w:t>2024</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1,391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1,403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16,210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17,160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-5.5</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789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769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2.7</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8,377</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8,179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2.4</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2,180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2,171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0.4</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24,587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25,338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-3.0</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897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910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10,688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11,354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-5.9</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2,191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2,189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0.1</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25,116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24,288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3.4</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3,088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3,099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-0.4</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35,804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35,642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0.5</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795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811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-1.9</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9,142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9,770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-6.4</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1,895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1,845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2.7</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21,609</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21,083</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2.5</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2,690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2,655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1.3</w:t>
            </w:r>
          </w:p>
        </w:tc>
        <w:tc>
          <w:tcPr>
            <w:tcW w:w="319"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30,751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30,854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-0.3</w:t>
            </w:r>
          </w:p>
        </w:tc>
        <w:tc>
          <w:tcPr>
            <w:tcW w:w="329" w:type="dxa"/>
            <w:tcBorders/>
            <w:vAlign w:val="bottom"/>
          </w:tcPr>
          <w:p>
            <w:pPr>
              <w:pStyle w:val="TableContents"/>
              <w:bidi w:val="0"/>
              <w:spacing w:before="0" w:after="283"/>
              <w:jc w:val="left"/>
              <w:rPr>
                <w:b/>
              </w:rPr>
            </w:pPr>
            <w:r>
              <w:rPr>
                <w:b/>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b/>
              </w:rPr>
            </w:pPr>
            <w:r>
              <w:rPr>
                <w:b/>
              </w:rPr>
              <w:t>p.p.</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88.6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89.1</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-0.5</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85.5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86.0</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-0.5</w:t>
            </w:r>
          </w:p>
        </w:tc>
        <w:tc>
          <w:tcPr>
            <w:tcW w:w="329"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86.5</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84.3</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2.2</w:t>
            </w:r>
          </w:p>
        </w:tc>
        <w:tc>
          <w:tcPr>
            <w:tcW w:w="31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86.1</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86.8</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-0.7</w:t>
            </w:r>
          </w:p>
        </w:tc>
        <w:tc>
          <w:tcPr>
            <w:tcW w:w="329"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87.1</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85.7</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1.4</w:t>
            </w:r>
          </w:p>
        </w:tc>
        <w:tc>
          <w:tcPr>
            <w:tcW w:w="31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85.9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86.6</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b/>
              </w:rPr>
            </w:pPr>
            <w:r>
              <w:rPr>
                <w:b/>
              </w:rPr>
              <w:t>-0.7</w:t>
            </w:r>
          </w:p>
        </w:tc>
        <w:tc>
          <w:tcPr>
            <w:tcW w:w="32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Figures may not sum to total due to rounding.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Starting November 2025, the indicators are presented in miles. This change ensures consistency and comparability across the industry. Our monthly</w:t>
      </w:r>
      <w:r>
        <w:rPr>
          <w:rFonts w:ascii="Times New Roman" w:hAnsi="Times New Roman"/>
          <w:sz w:val="20"/>
        </w:rPr>
        <w:t xml:space="preserve"> </w:t>
      </w:r>
      <w:r>
        <w:rPr>
          <w:rFonts w:ascii="Times New Roman" w:hAnsi="Times New Roman"/>
          <w:i/>
          <w:sz w:val="20"/>
        </w:rPr>
        <w:t>and year-to-date figures for 2024 also reflect this change.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6"/>
        <w:gridCol w:w="102"/>
        <w:gridCol w:w="3155"/>
        <w:gridCol w:w="102"/>
        <w:gridCol w:w="3940"/>
      </w:tblGrid>
      <w:tr>
        <w:trPr/>
        <w:tc>
          <w:tcPr>
            <w:tcW w:w="29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3155" w:type="dxa"/>
            <w:tcBorders/>
            <w:vAlign w:val="center"/>
          </w:tcPr>
          <w:p>
            <w:pPr>
              <w:pStyle w:val="TableContents"/>
              <w:bidi w:val="0"/>
              <w:spacing w:before="0" w:after="283"/>
              <w:jc w:val="right"/>
              <w:rPr>
                <w:b/>
              </w:rPr>
            </w:pPr>
            <w:r>
              <w:rPr>
                <w:b/>
              </w:rPr>
              <w:t>DECEMBER 2025 TRAFFIC RESULTS</w:t>
            </w:r>
          </w:p>
        </w:tc>
        <w:tc>
          <w:tcPr>
            <w:tcW w:w="102" w:type="dxa"/>
            <w:tcBorders/>
            <w:vAlign w:val="bottom"/>
          </w:tcPr>
          <w:p>
            <w:pPr>
              <w:pStyle w:val="TableContents"/>
              <w:bidi w:val="0"/>
              <w:spacing w:before="0" w:after="283"/>
              <w:jc w:val="left"/>
              <w:rPr/>
            </w:pPr>
            <w:r>
              <w:rPr/>
              <w:t> </w:t>
            </w:r>
          </w:p>
        </w:tc>
        <w:tc>
          <w:tcPr>
            <w:tcW w:w="3940" w:type="dxa"/>
            <w:tcBorders/>
          </w:tcPr>
          <w:p>
            <w:pPr>
              <w:pStyle w:val="TableContents"/>
              <w:bidi w:val="0"/>
              <w:spacing w:before="0" w:after="283"/>
              <w:jc w:val="right"/>
              <w:rPr/>
            </w:pPr>
            <w:r>
              <w:rPr/>
              <w:drawing>
                <wp:inline distT="0" distB="0" distL="0" distR="0">
                  <wp:extent cx="2486025" cy="5429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9"/>
        <w:gridCol w:w="120"/>
        <w:gridCol w:w="933"/>
        <w:gridCol w:w="120"/>
        <w:gridCol w:w="8213"/>
      </w:tblGrid>
      <w:tr>
        <w:trPr/>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r>
      <w:tr>
        <w:trPr/>
        <w:tc>
          <w:tcPr>
            <w:tcW w:w="819" w:type="dxa"/>
            <w:tcBorders/>
          </w:tcPr>
          <w:p>
            <w:pPr>
              <w:pStyle w:val="TableContents"/>
              <w:bidi w:val="0"/>
              <w:spacing w:before="0" w:after="283"/>
              <w:jc w:val="left"/>
              <w:rPr/>
            </w:pPr>
            <w:r>
              <w:rPr/>
              <w:drawing>
                <wp:inline distT="0" distB="0" distL="0" distR="0">
                  <wp:extent cx="504825" cy="552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04825" cy="5524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933" w:type="dxa"/>
            <w:tcBorders/>
          </w:tcPr>
          <w:p>
            <w:pPr>
              <w:pStyle w:val="TableContents"/>
              <w:bidi w:val="0"/>
              <w:spacing w:before="0" w:after="283"/>
              <w:jc w:val="left"/>
              <w:rPr/>
            </w:pPr>
            <w:r>
              <w:rPr/>
              <w:drawing>
                <wp:inline distT="0" distB="0" distL="0" distR="0">
                  <wp:extent cx="571500" cy="6953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1500" cy="695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8213" w:type="dxa"/>
            <w:tcBorders/>
          </w:tcPr>
          <w:p>
            <w:pPr>
              <w:pStyle w:val="TableContents"/>
              <w:bidi w:val="0"/>
              <w:spacing w:before="0" w:after="283"/>
              <w:jc w:val="center"/>
              <w:rPr/>
            </w:pPr>
            <w:r>
              <w:rPr/>
              <w:drawing>
                <wp:inline distT="0" distB="0" distL="0" distR="0">
                  <wp:extent cx="3800475" cy="82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800475" cy="82867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Aeroméxico January 2026 Traffic Results </w:t>
      </w:r>
    </w:p>
    <w:p>
      <w:pPr>
        <w:pStyle w:val="TextBody"/>
        <w:bidi w:val="0"/>
        <w:spacing w:before="240" w:after="0"/>
        <w:jc w:val="left"/>
        <w:rPr>
          <w:rFonts w:ascii="Times New Roman" w:hAnsi="Times New Roman"/>
          <w:sz w:val="20"/>
        </w:rPr>
      </w:pPr>
      <w:r>
        <w:rPr>
          <w:rFonts w:ascii="Times New Roman" w:hAnsi="Times New Roman"/>
          <w:sz w:val="20"/>
        </w:rPr>
        <w:t xml:space="preserve">Mexico City, Mexico, February 5, 2026 – Grupo Aeroméxico S.A.B. de C.V. (NYSE: AERO &amp; BMV: AERO) (“Aeroméxico”) reports its January 2026 operational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Grupo Aeroméxico transported 2 million and 53 thousand passengers in January 2026, a 1.8% year-over-year decrease. International passengers increased by 2.7%, while domestic passengers decreased by 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total capacity, measured in available seat miles (ASMs), decreased by 2.3% year-over-year. International ASMs decreased by 1.7%, while domestic capacity decreased by 3.6%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measured in passenger miles (RPMs), increased by 1.1% year-over-year. International demand increased by 3.8%, while domestic demand decreased by 5.0%, both figures compared to January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Aeroméxico’s January 2026 load factor was 87.0%, a 2.9 p.p. increase as compared to January 2025. International load factor increased by 4.7 p.p., and domestic load factor decreased by 1.2 p.p. </w:t>
            </w:r>
          </w:p>
        </w:tc>
      </w:tr>
    </w:tbl>
    <w:p>
      <w:pPr>
        <w:pStyle w:val="TextBody"/>
        <w:bidi w:val="0"/>
        <w:spacing w:before="240" w:after="0"/>
        <w:jc w:val="left"/>
        <w:rPr>
          <w:rFonts w:ascii="Times New Roman" w:hAnsi="Times New Roman"/>
          <w:sz w:val="20"/>
        </w:rPr>
      </w:pPr>
      <w:r>
        <w:rPr>
          <w:rFonts w:ascii="Times New Roman" w:hAnsi="Times New Roman"/>
          <w:b/>
          <w:sz w:val="20"/>
        </w:rPr>
        <w:t>Andrés Conesa, Chief Executive Officer stated</w:t>
      </w:r>
      <w:r>
        <w:rPr>
          <w:rFonts w:ascii="Times New Roman" w:hAnsi="Times New Roman"/>
          <w:b/>
          <w:i/>
          <w:sz w:val="20"/>
        </w:rPr>
        <w:t>:</w:t>
      </w:r>
      <w:r>
        <w:rPr>
          <w:rFonts w:ascii="Times New Roman" w:hAnsi="Times New Roman"/>
          <w:sz w:val="20"/>
        </w:rPr>
        <w:t xml:space="preserve"> “January traffic results confirm the recovery momentum built in recent months. After external shocks impacted demand early in 2025, we responded decisively by realigning capacity from the second quarter onward. With strong load factors in January, we demonstrated disciplined and agile network management. Capacity is expected to resume its growth trajectory in the second quarter of 2026, reinforcing our confidence as we enter the year with a balanced strategy focused on sustainable growth and disciplined execution.”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0"/>
        <w:gridCol w:w="303"/>
        <w:gridCol w:w="60"/>
        <w:gridCol w:w="563"/>
        <w:gridCol w:w="342"/>
        <w:gridCol w:w="200"/>
        <w:gridCol w:w="60"/>
        <w:gridCol w:w="563"/>
        <w:gridCol w:w="342"/>
        <w:gridCol w:w="200"/>
        <w:gridCol w:w="88"/>
        <w:gridCol w:w="654"/>
        <w:gridCol w:w="347"/>
      </w:tblGrid>
      <w:tr>
        <w:trPr/>
        <w:tc>
          <w:tcPr>
            <w:tcW w:w="485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3072" w:type="dxa"/>
            <w:gridSpan w:val="10"/>
            <w:tcBorders/>
            <w:vAlign w:val="bottom"/>
          </w:tcPr>
          <w:p>
            <w:pPr>
              <w:pStyle w:val="TableContents"/>
              <w:bidi w:val="0"/>
              <w:spacing w:before="0" w:after="283"/>
              <w:jc w:val="center"/>
              <w:rPr>
                <w:b/>
              </w:rPr>
            </w:pPr>
            <w:r>
              <w:rPr>
                <w:b/>
              </w:rPr>
              <w:t>January</w:t>
            </w:r>
          </w:p>
        </w:tc>
        <w:tc>
          <w:tcPr>
            <w:tcW w:w="347"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2026</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23" w:type="dxa"/>
            <w:gridSpan w:val="2"/>
            <w:tcBorders/>
            <w:vAlign w:val="bottom"/>
          </w:tcPr>
          <w:p>
            <w:pPr>
              <w:pStyle w:val="TableContents"/>
              <w:bidi w:val="0"/>
              <w:spacing w:before="0" w:after="283"/>
              <w:jc w:val="center"/>
              <w:rPr>
                <w:b/>
              </w:rPr>
            </w:pPr>
            <w:r>
              <w:rPr>
                <w:b/>
              </w:rPr>
              <w:t>2025</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bidi w:val="0"/>
              <w:spacing w:before="0" w:after="283"/>
              <w:jc w:val="center"/>
              <w:rPr>
                <w:b/>
              </w:rPr>
            </w:pPr>
            <w:r>
              <w:rPr>
                <w:b/>
              </w:rPr>
              <w:t>Var vs</w:t>
              <w:br/>
              <w:t>2025</w:t>
            </w:r>
          </w:p>
        </w:tc>
        <w:tc>
          <w:tcPr>
            <w:tcW w:w="347"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Passengers (itinerary + charter, thousands)</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sz w:val="4"/>
                <w:szCs w:val="4"/>
              </w:rPr>
            </w:pPr>
            <w:r>
              <w:rPr>
                <w:sz w:val="4"/>
                <w:szCs w:val="4"/>
              </w:rPr>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1,298</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1,355</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-4.2</w:t>
            </w:r>
          </w:p>
        </w:tc>
        <w:tc>
          <w:tcPr>
            <w:tcW w:w="347"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755</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735</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2.7</w:t>
            </w:r>
          </w:p>
        </w:tc>
        <w:tc>
          <w:tcPr>
            <w:tcW w:w="347"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2,053</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2,090</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b/>
              </w:rPr>
            </w:pPr>
            <w:r>
              <w:rPr>
                <w:b/>
              </w:rPr>
              <w:t>-1.8</w:t>
            </w:r>
          </w:p>
        </w:tc>
        <w:tc>
          <w:tcPr>
            <w:tcW w:w="347" w:type="dxa"/>
            <w:tcBorders/>
            <w:vAlign w:val="bottom"/>
          </w:tcPr>
          <w:p>
            <w:pPr>
              <w:pStyle w:val="TableContents"/>
              <w:bidi w:val="0"/>
              <w:spacing w:before="0" w:after="283"/>
              <w:jc w:val="left"/>
              <w:rPr>
                <w:b/>
              </w:rPr>
            </w:pPr>
            <w:r>
              <w:rPr>
                <w:b/>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ASMs (itinerary + charter, millions)</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sz w:val="4"/>
                <w:szCs w:val="4"/>
              </w:rPr>
            </w:pPr>
            <w:r>
              <w:rPr>
                <w:sz w:val="4"/>
                <w:szCs w:val="4"/>
              </w:rPr>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892</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925</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-3.6</w:t>
            </w:r>
          </w:p>
        </w:tc>
        <w:tc>
          <w:tcPr>
            <w:tcW w:w="347"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2,111</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2,148</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-1.7</w:t>
            </w:r>
          </w:p>
        </w:tc>
        <w:tc>
          <w:tcPr>
            <w:tcW w:w="347"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3,003</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3,073</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b/>
              </w:rPr>
            </w:pPr>
            <w:r>
              <w:rPr>
                <w:b/>
              </w:rPr>
              <w:t>-2.3</w:t>
            </w:r>
          </w:p>
        </w:tc>
        <w:tc>
          <w:tcPr>
            <w:tcW w:w="347" w:type="dxa"/>
            <w:tcBorders/>
            <w:vAlign w:val="bottom"/>
          </w:tcPr>
          <w:p>
            <w:pPr>
              <w:pStyle w:val="TableContents"/>
              <w:bidi w:val="0"/>
              <w:spacing w:before="0" w:after="283"/>
              <w:jc w:val="left"/>
              <w:rPr>
                <w:b/>
              </w:rPr>
            </w:pPr>
            <w:r>
              <w:rPr>
                <w:b/>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RPMs (itinerary + charter, millions)</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sz w:val="4"/>
                <w:szCs w:val="4"/>
              </w:rPr>
            </w:pPr>
            <w:r>
              <w:rPr>
                <w:sz w:val="4"/>
                <w:szCs w:val="4"/>
              </w:rPr>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740</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779</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-5.0</w:t>
            </w:r>
          </w:p>
        </w:tc>
        <w:tc>
          <w:tcPr>
            <w:tcW w:w="347"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1,874</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1,805</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3.8</w:t>
            </w:r>
          </w:p>
        </w:tc>
        <w:tc>
          <w:tcPr>
            <w:tcW w:w="347"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2,614</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2,584</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b/>
              </w:rPr>
            </w:pPr>
            <w:r>
              <w:rPr>
                <w:b/>
              </w:rPr>
              <w:t>1.1</w:t>
            </w:r>
          </w:p>
        </w:tc>
        <w:tc>
          <w:tcPr>
            <w:tcW w:w="347" w:type="dxa"/>
            <w:tcBorders/>
            <w:vAlign w:val="bottom"/>
          </w:tcPr>
          <w:p>
            <w:pPr>
              <w:pStyle w:val="TableContents"/>
              <w:bidi w:val="0"/>
              <w:spacing w:before="0" w:after="283"/>
              <w:jc w:val="left"/>
              <w:rPr>
                <w:b/>
              </w:rPr>
            </w:pPr>
            <w:r>
              <w:rPr>
                <w:b/>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 Factor (itinerary,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b/>
              </w:rPr>
            </w:pPr>
            <w:r>
              <w:rPr>
                <w:b/>
              </w:rPr>
              <w:t>p.p.</w:t>
            </w:r>
          </w:p>
        </w:tc>
        <w:tc>
          <w:tcPr>
            <w:tcW w:w="347"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83.0</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84.2</w:t>
            </w:r>
          </w:p>
        </w:tc>
        <w:tc>
          <w:tcPr>
            <w:tcW w:w="34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-1.2</w:t>
            </w:r>
          </w:p>
        </w:tc>
        <w:tc>
          <w:tcPr>
            <w:tcW w:w="347"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88.8</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84.0</w:t>
            </w:r>
          </w:p>
        </w:tc>
        <w:tc>
          <w:tcPr>
            <w:tcW w:w="34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4.7</w:t>
            </w:r>
          </w:p>
        </w:tc>
        <w:tc>
          <w:tcPr>
            <w:tcW w:w="347"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87.0</w:t>
            </w:r>
          </w:p>
        </w:tc>
        <w:tc>
          <w:tcPr>
            <w:tcW w:w="342"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84.1</w:t>
            </w:r>
          </w:p>
        </w:tc>
        <w:tc>
          <w:tcPr>
            <w:tcW w:w="342"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b/>
              </w:rPr>
            </w:pPr>
            <w:r>
              <w:rPr>
                <w:b/>
              </w:rPr>
              <w:t>2.9</w:t>
            </w:r>
          </w:p>
        </w:tc>
        <w:tc>
          <w:tcPr>
            <w:tcW w:w="34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Figures may not sum to total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7"/>
        <w:gridCol w:w="102"/>
        <w:gridCol w:w="3116"/>
        <w:gridCol w:w="102"/>
        <w:gridCol w:w="3948"/>
      </w:tblGrid>
      <w:tr>
        <w:trPr/>
        <w:tc>
          <w:tcPr>
            <w:tcW w:w="29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3116" w:type="dxa"/>
            <w:tcBorders/>
            <w:vAlign w:val="center"/>
          </w:tcPr>
          <w:p>
            <w:pPr>
              <w:pStyle w:val="TableContents"/>
              <w:bidi w:val="0"/>
              <w:spacing w:before="0" w:after="283"/>
              <w:jc w:val="right"/>
              <w:rPr>
                <w:b/>
              </w:rPr>
            </w:pPr>
            <w:r>
              <w:rPr>
                <w:b/>
              </w:rPr>
              <w:t>JANUARY 2026 TRAFFIC RESULTS</w:t>
            </w:r>
          </w:p>
        </w:tc>
        <w:tc>
          <w:tcPr>
            <w:tcW w:w="102" w:type="dxa"/>
            <w:tcBorders/>
            <w:vAlign w:val="bottom"/>
          </w:tcPr>
          <w:p>
            <w:pPr>
              <w:pStyle w:val="TableContents"/>
              <w:bidi w:val="0"/>
              <w:spacing w:before="0" w:after="283"/>
              <w:jc w:val="left"/>
              <w:rPr/>
            </w:pPr>
            <w:r>
              <w:rPr/>
              <w:t> </w:t>
            </w:r>
          </w:p>
        </w:tc>
        <w:tc>
          <w:tcPr>
            <w:tcW w:w="3948" w:type="dxa"/>
            <w:tcBorders/>
          </w:tcPr>
          <w:p>
            <w:pPr>
              <w:pStyle w:val="TableContents"/>
              <w:bidi w:val="0"/>
              <w:spacing w:before="0" w:after="283"/>
              <w:jc w:val="right"/>
              <w:rPr/>
            </w:pPr>
            <w:r>
              <w:rPr/>
              <w:drawing>
                <wp:inline distT="0" distB="0" distL="0" distR="0">
                  <wp:extent cx="2486025" cy="5429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486025" cy="5429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information included within this report has not been audited and does not provide information on the Company’s future performance. Aeromexico’s future performance depends on many factors and it cannot be inferred that any period’s performance or its year-over-year comparison will be an indicator of similar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RPMs”</w:t>
            </w:r>
            <w:r>
              <w:rPr>
                <w:rFonts w:ascii="Times New Roman" w:hAnsi="Times New Roman"/>
                <w:sz w:val="20"/>
              </w:rPr>
              <w:t xml:space="preserve"> Revenue Passenger Miles represent one revenue-passenger transported one mile. This includes itinerary and charter flights. The total RPMs equals the number of revenue-passengers transported multiplied by the total distance flown.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ASMs”</w:t>
            </w:r>
            <w:r>
              <w:rPr>
                <w:rFonts w:ascii="Times New Roman" w:hAnsi="Times New Roman"/>
                <w:sz w:val="20"/>
              </w:rPr>
              <w:t xml:space="preserve"> Available Seat Miles represent the number of available seats multiplied by the distance flown. This metric is an indicator of the airline’s capacity. It equals one seat offered for one mile, whether the seat is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u w:val="single"/>
              </w:rPr>
              <w:t>“</w:t>
            </w:r>
            <w:r>
              <w:rPr>
                <w:rFonts w:ascii="Times New Roman" w:hAnsi="Times New Roman"/>
                <w:sz w:val="20"/>
                <w:u w:val="single"/>
              </w:rPr>
              <w:t>Load Factor”</w:t>
            </w:r>
            <w:r>
              <w:rPr>
                <w:rFonts w:ascii="Times New Roman" w:hAnsi="Times New Roman"/>
                <w:sz w:val="20"/>
              </w:rPr>
              <w:t xml:space="preserve"> equals the number of passengers transported as a percentage of the number of seats offered. It is a measure of the airline’s capacity utilization. This metric considers the total passengers transported and total seats available in itinerary flights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u w:val="single"/>
              </w:rPr>
              <w:t>“</w:t>
            </w:r>
            <w:r>
              <w:rPr>
                <w:rFonts w:ascii="Times New Roman" w:hAnsi="Times New Roman"/>
                <w:sz w:val="20"/>
                <w:u w:val="single"/>
              </w:rPr>
              <w:t>Passengers”</w:t>
            </w:r>
            <w:r>
              <w:rPr>
                <w:rFonts w:ascii="Times New Roman" w:hAnsi="Times New Roman"/>
                <w:sz w:val="20"/>
              </w:rPr>
              <w:t xml:space="preserve"> refers to the total number of passengers transported by the airline.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press release contains certain forward-looking statements that reflect the current views and/or expectations of the Company and its management with respect to its performance, business and future events. We use words such as “believe,” “anticipate,” “plan,” “expect,”, “intend,” “target,” “estimate,” “project,” “predict,”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The Company is under no obligation and expressly disclaims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in the promotion of passenger loyalty programs. Aeroméxico, Mexico’s global airline, operates primarily out of Terminal 2 of the Mexico City International Airport. Its destination network extends across Mexico, the United States, Canada, Central America, South America, Asia, and Europe. Aeroméxico’s current operating fleet includes Boeing 787 and 737 aircraft, as well as Embraer 190. Aeroméxico is a founding member of SkyTeam, an alliance celebrating 25 years and offering connectivity across more than 145 countries through its 18 partner airlines. </w:t>
      </w:r>
    </w:p>
    <w:p>
      <w:pPr>
        <w:pStyle w:val="TextBody"/>
        <w:bidi w:val="0"/>
        <w:spacing w:before="240" w:after="0"/>
        <w:jc w:val="left"/>
        <w:rPr>
          <w:rFonts w:ascii="Times New Roman" w:hAnsi="Times New Roman"/>
          <w:i/>
          <w:sz w:val="20"/>
        </w:rPr>
      </w:pPr>
      <w:r>
        <w:rPr>
          <w:rFonts w:ascii="Times New Roman" w:hAnsi="Times New Roman"/>
          <w:i/>
          <w:sz w:val="20"/>
        </w:rPr>
        <w:t xml:space="preserve">www.aeromexico.com </w:t>
      </w:r>
    </w:p>
    <w:p>
      <w:pPr>
        <w:pStyle w:val="TextBody"/>
        <w:bidi w:val="0"/>
        <w:spacing w:before="0" w:after="0"/>
        <w:jc w:val="left"/>
        <w:rPr>
          <w:rFonts w:ascii="Times New Roman" w:hAnsi="Times New Roman"/>
          <w:i/>
          <w:sz w:val="20"/>
        </w:rPr>
      </w:pPr>
      <w:r>
        <w:rPr>
          <w:rFonts w:ascii="Times New Roman" w:hAnsi="Times New Roman"/>
          <w:i/>
          <w:sz w:val="20"/>
        </w:rPr>
        <w:t xml:space="preserve">www.skyteam.com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2.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8607</Words>
  <Characters>47471</Characters>
  <CharactersWithSpaces>58316</CharactersWithSpaces>
  <Paragraphs>4583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